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495C36" w:rsidRDefault="0094424E" w:rsidP="00D44968">
      <w:pPr>
        <w:suppressLineNumbers/>
        <w:rPr>
          <w:rtl/>
        </w:rPr>
      </w:pPr>
      <w:bookmarkStart w:id="0" w:name="_GoBack"/>
      <w:bookmarkEnd w:id="0"/>
      <w:r>
        <w:rPr>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94424E" w:rsidRPr="00E048AC" w:rsidTr="00465D36">
        <w:trPr>
          <w:jc w:val="center"/>
        </w:trPr>
        <w:tc>
          <w:tcPr>
            <w:tcW w:w="3249" w:type="dxa"/>
          </w:tcPr>
          <w:p w:rsidR="0094424E" w:rsidRPr="00E048AC" w:rsidRDefault="0094424E" w:rsidP="00D44968">
            <w:pPr>
              <w:suppressLineNumbers/>
              <w:rPr>
                <w:rFonts w:asciiTheme="minorBidi" w:hAnsiTheme="minorBidi" w:cstheme="minorBidi"/>
                <w:b/>
                <w:bCs/>
                <w:noProof w:val="0"/>
              </w:rPr>
            </w:pPr>
          </w:p>
          <w:p w:rsidR="0094424E" w:rsidRPr="00E048AC" w:rsidRDefault="00495C36" w:rsidP="00495C36">
            <w:pPr>
              <w:suppressLineNumbers/>
              <w:rPr>
                <w:rFonts w:asciiTheme="minorBidi" w:hAnsiTheme="minorBidi" w:cstheme="minorBidi"/>
                <w:b/>
                <w:bCs/>
                <w:noProof w:val="0"/>
                <w:rtl/>
              </w:rPr>
            </w:pPr>
            <w:r w:rsidRPr="00E048AC">
              <w:rPr>
                <w:rFonts w:asciiTheme="minorBidi" w:hAnsiTheme="minorBidi" w:cstheme="minorBidi"/>
                <w:b/>
                <w:bCs/>
                <w:noProof w:val="0"/>
                <w:u w:val="single"/>
                <w:rtl/>
              </w:rPr>
              <w:t>המערער</w:t>
            </w:r>
            <w:r w:rsidR="002203FA" w:rsidRPr="002203FA">
              <w:rPr>
                <w:rFonts w:asciiTheme="minorBidi" w:hAnsiTheme="minorBidi" w:cstheme="minorBidi" w:hint="cs"/>
                <w:b/>
                <w:bCs/>
                <w:noProof w:val="0"/>
                <w:u w:val="single"/>
                <w:rtl/>
              </w:rPr>
              <w:t>ת</w:t>
            </w:r>
            <w:r w:rsidRPr="00E048AC">
              <w:rPr>
                <w:rFonts w:asciiTheme="minorBidi" w:hAnsiTheme="minorBidi" w:cstheme="minorBidi"/>
                <w:b/>
                <w:bCs/>
                <w:noProof w:val="0"/>
                <w:rtl/>
              </w:rPr>
              <w:t>:</w:t>
            </w:r>
          </w:p>
        </w:tc>
        <w:tc>
          <w:tcPr>
            <w:tcW w:w="5571" w:type="dxa"/>
          </w:tcPr>
          <w:p w:rsidR="0094424E" w:rsidRPr="00E048AC" w:rsidRDefault="0094424E" w:rsidP="00D44968">
            <w:pPr>
              <w:suppressLineNumbers/>
              <w:rPr>
                <w:rFonts w:asciiTheme="minorBidi" w:hAnsiTheme="minorBidi" w:cstheme="minorBidi"/>
                <w:b/>
                <w:bCs/>
                <w:noProof w:val="0"/>
                <w:rtl/>
              </w:rPr>
            </w:pPr>
          </w:p>
          <w:p w:rsidR="00F54BA1" w:rsidRDefault="004F2B60" w:rsidP="00F54BA1">
            <w:pPr>
              <w:suppressLineNumbers/>
              <w:rPr>
                <w:rFonts w:asciiTheme="minorBidi" w:hAnsiTheme="minorBidi" w:cstheme="minorBidi"/>
                <w:b/>
                <w:bCs/>
                <w:rtl/>
              </w:rPr>
            </w:pPr>
            <w:sdt>
              <w:sdtPr>
                <w:rPr>
                  <w:rFonts w:asciiTheme="minorBidi" w:hAnsiTheme="minorBidi" w:cstheme="minorBidi"/>
                  <w:b/>
                  <w:bCs/>
                  <w:rtl/>
                </w:rPr>
                <w:alias w:val="1478"/>
                <w:tag w:val="1478"/>
                <w:id w:val="-2076122985"/>
                <w:text w:multiLine="1"/>
              </w:sdtPr>
              <w:sdtEndPr/>
              <w:sdtContent>
                <w:r w:rsidR="00770A14">
                  <w:rPr>
                    <w:rFonts w:asciiTheme="minorBidi" w:hAnsiTheme="minorBidi" w:cstheme="minorBidi"/>
                    <w:b/>
                    <w:bCs/>
                    <w:noProof w:val="0"/>
                    <w:rtl/>
                  </w:rPr>
                  <w:t>מדינת ישראל</w:t>
                </w:r>
              </w:sdtContent>
            </w:sdt>
            <w:r w:rsidR="00493153" w:rsidRPr="009E3C76">
              <w:rPr>
                <w:rFonts w:asciiTheme="minorBidi" w:hAnsiTheme="minorBidi" w:cstheme="minorBidi" w:hint="cs"/>
                <w:b/>
                <w:bCs/>
                <w:rtl/>
              </w:rPr>
              <w:t xml:space="preserve"> </w:t>
            </w:r>
          </w:p>
          <w:p w:rsidR="00493153" w:rsidRPr="009E3C76" w:rsidRDefault="00493153" w:rsidP="009E3C76">
            <w:pPr>
              <w:suppressLineNumbers/>
              <w:rPr>
                <w:rFonts w:asciiTheme="minorBidi" w:hAnsiTheme="minorBidi" w:cstheme="minorBidi"/>
                <w:b/>
                <w:bCs/>
                <w:rtl/>
              </w:rPr>
            </w:pPr>
            <w:r w:rsidRPr="009E3C76">
              <w:rPr>
                <w:rFonts w:asciiTheme="minorBidi" w:hAnsiTheme="minorBidi" w:cstheme="minorBidi" w:hint="cs"/>
                <w:b/>
                <w:bCs/>
                <w:rtl/>
              </w:rPr>
              <w:t>ע"י ב"כ</w:t>
            </w:r>
            <w:r w:rsidR="002203FA">
              <w:rPr>
                <w:rFonts w:asciiTheme="minorBidi" w:hAnsiTheme="minorBidi" w:cstheme="minorBidi" w:hint="cs"/>
                <w:b/>
                <w:bCs/>
                <w:rtl/>
              </w:rPr>
              <w:t xml:space="preserve"> תהילה גלנטה, פמ"ד-פלילי</w:t>
            </w:r>
            <w:r w:rsidRPr="009E3C76">
              <w:rPr>
                <w:rFonts w:asciiTheme="minorBidi" w:hAnsiTheme="minorBidi" w:cstheme="minorBidi" w:hint="cs"/>
                <w:b/>
                <w:bCs/>
                <w:rtl/>
              </w:rPr>
              <w:t xml:space="preserve"> </w:t>
            </w:r>
            <w:r w:rsidR="009E3C76" w:rsidRPr="009E3C76">
              <w:rPr>
                <w:rFonts w:asciiTheme="minorBidi" w:hAnsiTheme="minorBidi" w:cstheme="minorBidi"/>
                <w:b/>
                <w:bCs/>
                <w:rtl/>
              </w:rPr>
              <w:t xml:space="preserve"> </w:t>
            </w:r>
          </w:p>
          <w:p w:rsidR="0094424E" w:rsidRPr="00E048AC" w:rsidRDefault="0094424E" w:rsidP="00D44968">
            <w:pPr>
              <w:suppressLineNumbers/>
              <w:rPr>
                <w:rFonts w:asciiTheme="minorBidi" w:hAnsiTheme="minorBidi" w:cstheme="minorBidi"/>
                <w:b/>
                <w:bCs/>
                <w:noProof w:val="0"/>
              </w:rPr>
            </w:pPr>
          </w:p>
        </w:tc>
      </w:tr>
      <w:tr w:rsidR="0094424E" w:rsidRPr="00F54BA1">
        <w:trPr>
          <w:jc w:val="center"/>
        </w:trPr>
        <w:tc>
          <w:tcPr>
            <w:tcW w:w="8820" w:type="dxa"/>
            <w:gridSpan w:val="2"/>
          </w:tcPr>
          <w:p w:rsidR="0094424E" w:rsidRPr="00E048AC" w:rsidRDefault="0094424E" w:rsidP="00D44968">
            <w:pPr>
              <w:suppressLineNumbers/>
              <w:rPr>
                <w:rFonts w:asciiTheme="minorBidi" w:hAnsiTheme="minorBidi" w:cstheme="minorBidi"/>
                <w:b/>
                <w:bCs/>
                <w:noProof w:val="0"/>
                <w:rtl/>
              </w:rPr>
            </w:pPr>
          </w:p>
          <w:p w:rsidR="0094424E" w:rsidRPr="00E048AC" w:rsidRDefault="0094424E" w:rsidP="00D44968">
            <w:pPr>
              <w:suppressLineNumbers/>
              <w:jc w:val="center"/>
              <w:rPr>
                <w:rFonts w:asciiTheme="minorBidi" w:hAnsiTheme="minorBidi" w:cstheme="minorBidi"/>
                <w:b/>
                <w:bCs/>
                <w:noProof w:val="0"/>
                <w:rtl/>
              </w:rPr>
            </w:pPr>
            <w:r w:rsidRPr="00E048AC">
              <w:rPr>
                <w:rFonts w:asciiTheme="minorBidi" w:hAnsiTheme="minorBidi" w:cstheme="minorBidi"/>
                <w:b/>
                <w:bCs/>
                <w:noProof w:val="0"/>
                <w:rtl/>
              </w:rPr>
              <w:t>נגד</w:t>
            </w:r>
          </w:p>
          <w:p w:rsidR="0094424E" w:rsidRPr="00E048AC" w:rsidRDefault="0094424E" w:rsidP="00D44968">
            <w:pPr>
              <w:suppressLineNumbers/>
              <w:rPr>
                <w:rFonts w:asciiTheme="minorBidi" w:hAnsiTheme="minorBidi" w:cstheme="minorBidi"/>
                <w:b/>
                <w:bCs/>
                <w:noProof w:val="0"/>
              </w:rPr>
            </w:pPr>
          </w:p>
        </w:tc>
      </w:tr>
      <w:tr w:rsidR="0094424E" w:rsidRPr="00E048AC">
        <w:trPr>
          <w:jc w:val="center"/>
        </w:trPr>
        <w:tc>
          <w:tcPr>
            <w:tcW w:w="3249" w:type="dxa"/>
          </w:tcPr>
          <w:p w:rsidR="0094424E" w:rsidRPr="00E048AC" w:rsidRDefault="002203FA" w:rsidP="00D44968">
            <w:pPr>
              <w:suppressLineNumbers/>
              <w:rPr>
                <w:rFonts w:asciiTheme="minorBidi" w:hAnsiTheme="minorBidi" w:cstheme="minorBidi"/>
                <w:b/>
                <w:bCs/>
                <w:noProof w:val="0"/>
              </w:rPr>
            </w:pPr>
            <w:r>
              <w:rPr>
                <w:rFonts w:asciiTheme="minorBidi" w:hAnsiTheme="minorBidi" w:cstheme="minorBidi"/>
                <w:b/>
                <w:bCs/>
                <w:noProof w:val="0"/>
                <w:u w:val="single"/>
                <w:rtl/>
              </w:rPr>
              <w:t>המשיב</w:t>
            </w:r>
            <w:r w:rsidR="00495C36" w:rsidRPr="00E048AC">
              <w:rPr>
                <w:rFonts w:asciiTheme="minorBidi" w:hAnsiTheme="minorBidi" w:cstheme="minorBidi"/>
                <w:b/>
                <w:bCs/>
                <w:noProof w:val="0"/>
                <w:rtl/>
              </w:rPr>
              <w:t>:</w:t>
            </w:r>
          </w:p>
        </w:tc>
        <w:tc>
          <w:tcPr>
            <w:tcW w:w="5571" w:type="dxa"/>
          </w:tcPr>
          <w:p w:rsidR="00F54BA1" w:rsidRDefault="004F2B60" w:rsidP="00F54BA1">
            <w:pPr>
              <w:suppressLineNumbers/>
              <w:rPr>
                <w:rFonts w:asciiTheme="minorBidi" w:hAnsiTheme="minorBidi" w:cstheme="minorBidi"/>
                <w:b/>
                <w:bCs/>
                <w:rtl/>
              </w:rPr>
            </w:pPr>
            <w:sdt>
              <w:sdtPr>
                <w:rPr>
                  <w:rFonts w:asciiTheme="minorBidi" w:hAnsiTheme="minorBidi" w:cstheme="minorBidi"/>
                  <w:b/>
                  <w:bCs/>
                  <w:rtl/>
                </w:rPr>
                <w:alias w:val="1486"/>
                <w:tag w:val="1486"/>
                <w:id w:val="-309872140"/>
                <w:text w:multiLine="1"/>
              </w:sdtPr>
              <w:sdtEndPr/>
              <w:sdtContent>
                <w:r w:rsidR="00770A14">
                  <w:rPr>
                    <w:rFonts w:asciiTheme="minorBidi" w:hAnsiTheme="minorBidi" w:cstheme="minorBidi"/>
                    <w:b/>
                    <w:bCs/>
                    <w:noProof w:val="0"/>
                    <w:rtl/>
                  </w:rPr>
                  <w:t>עבד בן עבד אבו גאמע</w:t>
                </w:r>
              </w:sdtContent>
            </w:sdt>
          </w:p>
          <w:p w:rsidR="009E3C76" w:rsidRPr="009E3C76" w:rsidRDefault="009E3C76" w:rsidP="009E3C76">
            <w:pPr>
              <w:suppressLineNumbers/>
              <w:rPr>
                <w:rFonts w:asciiTheme="minorBidi" w:hAnsiTheme="minorBidi" w:cstheme="minorBidi"/>
                <w:b/>
                <w:bCs/>
                <w:rtl/>
              </w:rPr>
            </w:pPr>
            <w:r w:rsidRPr="009E3C76">
              <w:rPr>
                <w:rFonts w:asciiTheme="minorBidi" w:hAnsiTheme="minorBidi" w:cstheme="minorBidi" w:hint="cs"/>
                <w:b/>
                <w:bCs/>
                <w:rtl/>
              </w:rPr>
              <w:t xml:space="preserve"> ע"י ב"כ </w:t>
            </w:r>
            <w:r w:rsidR="002203FA">
              <w:rPr>
                <w:rFonts w:asciiTheme="minorBidi" w:hAnsiTheme="minorBidi" w:cstheme="minorBidi" w:hint="cs"/>
                <w:b/>
                <w:bCs/>
                <w:rtl/>
              </w:rPr>
              <w:t>עו"ד אפרת גל</w:t>
            </w:r>
            <w:r w:rsidRPr="009E3C76">
              <w:rPr>
                <w:rFonts w:asciiTheme="minorBidi" w:hAnsiTheme="minorBidi" w:cstheme="minorBidi"/>
                <w:b/>
                <w:bCs/>
                <w:rtl/>
              </w:rPr>
              <w:t xml:space="preserve"> </w:t>
            </w:r>
          </w:p>
          <w:p w:rsidR="0094424E" w:rsidRPr="009E3C76" w:rsidRDefault="0094424E" w:rsidP="00D44968">
            <w:pPr>
              <w:suppressLineNumbers/>
              <w:rPr>
                <w:rFonts w:asciiTheme="minorBidi" w:hAnsiTheme="minorBidi" w:cstheme="minorBidi"/>
                <w:b/>
                <w:bCs/>
                <w:rtl/>
              </w:rPr>
            </w:pPr>
          </w:p>
          <w:p w:rsidR="00CF6BB7" w:rsidRPr="00E048AC" w:rsidRDefault="00CF6BB7" w:rsidP="00D44968">
            <w:pPr>
              <w:suppressLineNumbers/>
              <w:rPr>
                <w:rFonts w:asciiTheme="minorBidi" w:hAnsiTheme="minorBidi" w:cstheme="minorBidi"/>
                <w:b/>
                <w:bCs/>
                <w:noProof w:val="0"/>
                <w:rtl/>
              </w:rPr>
            </w:pPr>
          </w:p>
        </w:tc>
      </w:tr>
    </w:tbl>
    <w:p w:rsidR="005A2D67" w:rsidRDefault="002203FA" w:rsidP="005A2D67">
      <w:pPr>
        <w:suppressLineNumbers/>
        <w:jc w:val="center"/>
        <w:rPr>
          <w:rFonts w:asciiTheme="minorBidi" w:hAnsiTheme="minorBidi" w:cstheme="minorBidi"/>
          <w:b/>
          <w:bCs/>
          <w:rtl/>
        </w:rPr>
      </w:pPr>
      <w:r w:rsidRPr="002203FA">
        <w:rPr>
          <w:rFonts w:asciiTheme="minorBidi" w:hAnsiTheme="minorBidi" w:cstheme="minorBidi"/>
          <w:b/>
          <w:bCs/>
          <w:rtl/>
        </w:rPr>
        <w:t>ערעור על גזר דינו של בית משפט השלום בבאר שבע (כב' השופט א</w:t>
      </w:r>
      <w:r w:rsidR="005A2D67">
        <w:rPr>
          <w:rFonts w:asciiTheme="minorBidi" w:hAnsiTheme="minorBidi" w:cstheme="minorBidi" w:hint="cs"/>
          <w:b/>
          <w:bCs/>
          <w:rtl/>
        </w:rPr>
        <w:t xml:space="preserve">בישי </w:t>
      </w:r>
      <w:r w:rsidRPr="002203FA">
        <w:rPr>
          <w:rFonts w:asciiTheme="minorBidi" w:hAnsiTheme="minorBidi" w:cstheme="minorBidi"/>
          <w:b/>
          <w:bCs/>
          <w:rtl/>
        </w:rPr>
        <w:t xml:space="preserve">כהן) </w:t>
      </w:r>
    </w:p>
    <w:p w:rsidR="002203FA" w:rsidRPr="002203FA" w:rsidRDefault="005A2D67" w:rsidP="005A2D67">
      <w:pPr>
        <w:suppressLineNumbers/>
        <w:jc w:val="center"/>
        <w:rPr>
          <w:rFonts w:asciiTheme="minorBidi" w:hAnsiTheme="minorBidi" w:cstheme="minorBidi"/>
          <w:b/>
          <w:bCs/>
          <w:rtl/>
        </w:rPr>
      </w:pPr>
      <w:r>
        <w:rPr>
          <w:rFonts w:asciiTheme="minorBidi" w:hAnsiTheme="minorBidi" w:cstheme="minorBidi"/>
          <w:b/>
          <w:bCs/>
          <w:rtl/>
        </w:rPr>
        <w:t>מיום 08.01.23 בת.פ. 11874-04-20</w:t>
      </w:r>
    </w:p>
    <w:p w:rsidR="0094424E" w:rsidRPr="002203FA" w:rsidRDefault="0094424E" w:rsidP="00D44968">
      <w:pPr>
        <w:suppressLineNumbers/>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E048AC" w:rsidRDefault="003E38C7">
            <w:pPr>
              <w:bidi w:val="0"/>
              <w:jc w:val="center"/>
              <w:rPr>
                <w:rFonts w:asciiTheme="minorBidi" w:hAnsiTheme="minorBidi" w:cstheme="minorBidi"/>
                <w:b/>
                <w:bCs/>
                <w:noProof w:val="0"/>
                <w:sz w:val="28"/>
                <w:szCs w:val="28"/>
                <w:u w:val="single"/>
              </w:rPr>
            </w:pPr>
            <w:r w:rsidRPr="00E048AC">
              <w:rPr>
                <w:rFonts w:asciiTheme="minorBidi" w:hAnsiTheme="minorBidi" w:cstheme="minorBidi"/>
                <w:b/>
                <w:bCs/>
                <w:noProof w:val="0"/>
                <w:sz w:val="28"/>
                <w:szCs w:val="28"/>
                <w:u w:val="single"/>
                <w:rtl/>
              </w:rPr>
              <w:t>פסק</w:t>
            </w:r>
            <w:r w:rsidR="002203FA">
              <w:rPr>
                <w:rFonts w:asciiTheme="minorBidi" w:hAnsiTheme="minorBidi" w:cstheme="minorBidi" w:hint="cs"/>
                <w:b/>
                <w:bCs/>
                <w:noProof w:val="0"/>
                <w:sz w:val="28"/>
                <w:szCs w:val="28"/>
                <w:u w:val="single"/>
                <w:rtl/>
              </w:rPr>
              <w:t xml:space="preserve"> -</w:t>
            </w:r>
            <w:r w:rsidRPr="00E048AC">
              <w:rPr>
                <w:rFonts w:asciiTheme="minorBidi" w:hAnsiTheme="minorBidi" w:cstheme="minorBidi"/>
                <w:b/>
                <w:bCs/>
                <w:noProof w:val="0"/>
                <w:sz w:val="28"/>
                <w:szCs w:val="28"/>
                <w:u w:val="single"/>
                <w:rtl/>
              </w:rPr>
              <w:t xml:space="preserve"> דין</w:t>
            </w:r>
          </w:p>
          <w:p w:rsidR="00D44968" w:rsidRPr="00D44968" w:rsidRDefault="00D44968" w:rsidP="00D44968">
            <w:pPr>
              <w:bidi w:val="0"/>
              <w:jc w:val="center"/>
              <w:rPr>
                <w:rFonts w:ascii="Arial" w:hAnsi="Arial"/>
                <w:b/>
                <w:bCs/>
                <w:noProof w:val="0"/>
                <w:sz w:val="28"/>
                <w:szCs w:val="28"/>
                <w:u w:val="single"/>
              </w:rPr>
            </w:pPr>
          </w:p>
        </w:tc>
      </w:tr>
    </w:tbl>
    <w:p w:rsidR="002203FA" w:rsidRPr="002203FA" w:rsidRDefault="002203FA" w:rsidP="002203FA">
      <w:pPr>
        <w:spacing w:after="160" w:line="360" w:lineRule="auto"/>
        <w:jc w:val="both"/>
        <w:rPr>
          <w:rFonts w:ascii="Calibri" w:eastAsia="Calibri" w:hAnsi="Calibri" w:cs="Arial"/>
          <w:b/>
          <w:bCs/>
          <w:noProof w:val="0"/>
          <w:u w:val="single"/>
        </w:rPr>
      </w:pPr>
      <w:bookmarkStart w:id="1" w:name="NGCSBookmark"/>
      <w:bookmarkEnd w:id="1"/>
      <w:r w:rsidRPr="002203FA">
        <w:rPr>
          <w:rFonts w:ascii="Calibri" w:eastAsia="Calibri" w:hAnsi="Calibri" w:cs="Arial"/>
          <w:b/>
          <w:bCs/>
          <w:noProof w:val="0"/>
          <w:u w:val="single"/>
          <w:rtl/>
        </w:rPr>
        <w:t>הנשיאה רויטל יפה-כ"ץ:</w:t>
      </w:r>
    </w:p>
    <w:p w:rsidR="002203FA" w:rsidRPr="002203FA" w:rsidRDefault="002203FA" w:rsidP="002203FA">
      <w:pPr>
        <w:spacing w:after="160" w:line="360" w:lineRule="auto"/>
        <w:jc w:val="both"/>
        <w:rPr>
          <w:rFonts w:ascii="Calibri" w:eastAsia="Calibri" w:hAnsi="Calibri" w:cs="Arial"/>
          <w:noProof w:val="0"/>
          <w:rtl/>
        </w:rPr>
      </w:pPr>
      <w:r w:rsidRPr="002203FA">
        <w:rPr>
          <w:rFonts w:ascii="Calibri" w:eastAsia="Calibri" w:hAnsi="Calibri" w:cs="Arial"/>
          <w:noProof w:val="0"/>
          <w:rtl/>
        </w:rPr>
        <w:t>המשיב הודה, כי במשך 14 שנה הלין בביתו שבערערה תושבת השטחים לה נישא, ונדון, ללא הרשעה, לשל"צ בהיקף של 120 שעות. על אי הרשעתו של המשיב ועל קולת העונש, הוגש הערעור שבפנינו.</w:t>
      </w:r>
    </w:p>
    <w:p w:rsidR="002203FA" w:rsidRPr="002203FA" w:rsidRDefault="002203FA" w:rsidP="002203FA">
      <w:pPr>
        <w:spacing w:after="160" w:line="360" w:lineRule="auto"/>
        <w:jc w:val="both"/>
        <w:rPr>
          <w:rFonts w:ascii="Calibri" w:eastAsia="Calibri" w:hAnsi="Calibri" w:cs="Arial"/>
          <w:b/>
          <w:bCs/>
          <w:noProof w:val="0"/>
          <w:u w:val="single"/>
          <w:rtl/>
        </w:rPr>
      </w:pPr>
      <w:r w:rsidRPr="002203FA">
        <w:rPr>
          <w:rFonts w:ascii="Calibri" w:eastAsia="Calibri" w:hAnsi="Calibri" w:cs="Arial"/>
          <w:b/>
          <w:bCs/>
          <w:noProof w:val="0"/>
          <w:u w:val="single"/>
          <w:rtl/>
        </w:rPr>
        <w:t>ההליכים בבית המשפט קמא</w:t>
      </w:r>
    </w:p>
    <w:p w:rsidR="002203FA" w:rsidRPr="002203FA" w:rsidRDefault="002203FA" w:rsidP="002203FA">
      <w:pPr>
        <w:spacing w:after="160" w:line="360" w:lineRule="auto"/>
        <w:jc w:val="both"/>
        <w:rPr>
          <w:rFonts w:ascii="Calibri" w:eastAsia="Calibri" w:hAnsi="Calibri" w:cs="Arial"/>
          <w:noProof w:val="0"/>
          <w:rtl/>
        </w:rPr>
      </w:pPr>
      <w:r w:rsidRPr="002203FA">
        <w:rPr>
          <w:rFonts w:ascii="Calibri" w:eastAsia="Calibri" w:hAnsi="Calibri" w:cs="Arial"/>
          <w:noProof w:val="0"/>
          <w:rtl/>
        </w:rPr>
        <w:t xml:space="preserve">כנגד המשיב הוגש </w:t>
      </w:r>
      <w:r w:rsidRPr="002203FA">
        <w:rPr>
          <w:rFonts w:ascii="Calibri" w:eastAsia="Calibri" w:hAnsi="Calibri" w:cs="Arial"/>
          <w:b/>
          <w:bCs/>
          <w:noProof w:val="0"/>
          <w:rtl/>
        </w:rPr>
        <w:t>כתב האישום</w:t>
      </w:r>
      <w:r w:rsidRPr="002203FA">
        <w:rPr>
          <w:rFonts w:ascii="Calibri" w:eastAsia="Calibri" w:hAnsi="Calibri" w:cs="Arial"/>
          <w:noProof w:val="0"/>
          <w:rtl/>
        </w:rPr>
        <w:t>, בו יוחס לו, כי עובר לתאריך 16.03.20, ובמשך 14 שנה, הלין בביתו שבערערה את הגב' רנא אבו-גאמע, שהיא שוהה שלא כדין בישראל, ואשר לה נישא, ולהם 8 ילדים.</w:t>
      </w:r>
    </w:p>
    <w:p w:rsidR="002203FA" w:rsidRPr="002203FA" w:rsidRDefault="002203FA" w:rsidP="005A2D67">
      <w:pPr>
        <w:spacing w:after="160" w:line="360" w:lineRule="auto"/>
        <w:jc w:val="both"/>
        <w:rPr>
          <w:rFonts w:ascii="Calibri" w:eastAsia="Calibri" w:hAnsi="Calibri" w:cs="Arial"/>
          <w:noProof w:val="0"/>
          <w:rtl/>
        </w:rPr>
      </w:pPr>
      <w:r w:rsidRPr="002203FA">
        <w:rPr>
          <w:rFonts w:ascii="Calibri" w:eastAsia="Calibri" w:hAnsi="Calibri" w:cs="Arial"/>
          <w:noProof w:val="0"/>
          <w:rtl/>
        </w:rPr>
        <w:t xml:space="preserve">בתחילת הדיונים המשיב אמנם הודה בכך שנישא לתושבת שטחים שאין לה אישור שהייה בישראל, לפני כ-14 שנה וכי להם 9 ילדים משותפים (נתון שעודכן במהלך הדיונים); ואף הודה, כי הם מתגוררים יחד בבית בערערה שבנגב, אולם טען כי המדינה היא האחראית למצב בשל </w:t>
      </w:r>
      <w:r w:rsidRPr="002203FA">
        <w:rPr>
          <w:rFonts w:ascii="Miriam" w:eastAsia="Calibri" w:hAnsi="Miriam" w:cs="Miriam"/>
          <w:b/>
          <w:bCs/>
          <w:noProof w:val="0"/>
          <w:rtl/>
        </w:rPr>
        <w:t>"אוזלת ידה"</w:t>
      </w:r>
      <w:r w:rsidRPr="002203FA">
        <w:rPr>
          <w:rFonts w:ascii="Calibri" w:eastAsia="Calibri" w:hAnsi="Calibri" w:cs="Arial"/>
          <w:noProof w:val="0"/>
          <w:rtl/>
        </w:rPr>
        <w:t xml:space="preserve">. בא כוחו של המשיב טען, כי </w:t>
      </w:r>
      <w:r w:rsidRPr="002203FA">
        <w:rPr>
          <w:rFonts w:ascii="Miriam" w:eastAsia="Calibri" w:hAnsi="Miriam" w:cs="Miriam"/>
          <w:b/>
          <w:bCs/>
          <w:noProof w:val="0"/>
          <w:rtl/>
        </w:rPr>
        <w:t>"הגב' שלכאורה הלין הנאשם, היא המופיעה בכתב האישום, היא תושבת ירדן ובאותה העת לא היה לה אישור כדין. יחד עם זאת, הסיבה שלא היה אישור כדין זה כי המדינה עיכבה את הנאשם ואת אשתו בהליכי הסדרת המעמד"</w:t>
      </w:r>
      <w:r w:rsidRPr="002203FA">
        <w:rPr>
          <w:rFonts w:ascii="Calibri" w:eastAsia="Calibri" w:hAnsi="Calibri" w:cs="Arial"/>
          <w:noProof w:val="0"/>
          <w:rtl/>
        </w:rPr>
        <w:t xml:space="preserve">, חרף ניסיונותיהם להסדיר מעמדה מאז שנת 2012. </w:t>
      </w:r>
      <w:r w:rsidRPr="002203FA">
        <w:rPr>
          <w:rFonts w:ascii="Miriam" w:eastAsia="Calibri" w:hAnsi="Miriam" w:cs="Miriam"/>
          <w:b/>
          <w:bCs/>
          <w:noProof w:val="0"/>
          <w:rtl/>
        </w:rPr>
        <w:t>"אנו מצויים בהליכים להסדרת המעמד, רשות האוכלוסין וההגירה דוחים אותי ואת הנאשם בלך ושוב, בבקשות ובעררים שהוגשו ולא קיבלנו מענה למעלה משלוש שנים"</w:t>
      </w:r>
      <w:r w:rsidRPr="002203FA">
        <w:rPr>
          <w:rFonts w:ascii="Calibri" w:eastAsia="Calibri" w:hAnsi="Calibri" w:cs="Arial"/>
          <w:noProof w:val="0"/>
          <w:rtl/>
        </w:rPr>
        <w:t xml:space="preserve"> (ישיבת יום 05.07.2021); ב"כ המשיב אף טען לאכיפה </w:t>
      </w:r>
      <w:r w:rsidRPr="002203FA">
        <w:rPr>
          <w:rFonts w:ascii="Calibri" w:eastAsia="Calibri" w:hAnsi="Calibri" w:cs="Arial"/>
          <w:noProof w:val="0"/>
          <w:rtl/>
        </w:rPr>
        <w:lastRenderedPageBreak/>
        <w:t>בררנית (</w:t>
      </w:r>
      <w:r w:rsidRPr="002203FA">
        <w:rPr>
          <w:rFonts w:ascii="Miriam" w:eastAsia="Calibri" w:hAnsi="Miriam" w:cs="Miriam"/>
          <w:b/>
          <w:bCs/>
          <w:noProof w:val="0"/>
          <w:rtl/>
        </w:rPr>
        <w:t>"אנחנו סבורים כי מדובר במקרה תקדימי שלא היה לפני כן"</w:t>
      </w:r>
      <w:r w:rsidRPr="002203FA">
        <w:rPr>
          <w:rFonts w:ascii="Calibri" w:eastAsia="Calibri" w:hAnsi="Calibri" w:cs="Arial"/>
          <w:noProof w:val="0"/>
          <w:rtl/>
        </w:rPr>
        <w:t>, שם); המשיב טען, כי הוא אמנם חי עם אותה אישה, אך הוא אינו מלין אותה אלא הוא זה אשר המתגורר בביתה (</w:t>
      </w:r>
      <w:r w:rsidRPr="002203FA">
        <w:rPr>
          <w:rFonts w:ascii="Miriam" w:eastAsia="Calibri" w:hAnsi="Miriam" w:cs="Miriam"/>
          <w:b/>
          <w:bCs/>
          <w:noProof w:val="0"/>
          <w:rtl/>
        </w:rPr>
        <w:t>"אני חי אצל אשתי משנת 2006 בנגב ובתוקף תעודת נישואים, אצלינו באסלאם אם אני מתחתן עם מישהי כותבים בכתובה שאני נותן לה בית מגורים. הבית הוא שלה ואני חי איתה בתוך הבית הזה"</w:t>
      </w:r>
      <w:r w:rsidRPr="002203FA">
        <w:rPr>
          <w:rFonts w:ascii="Calibri" w:eastAsia="Calibri" w:hAnsi="Calibri" w:cs="Arial"/>
          <w:noProof w:val="0"/>
          <w:rtl/>
        </w:rPr>
        <w:t xml:space="preserve">, מתוך עדותו של המשיב, מיום 26.01.22); המשיב הוסיף וטען, כי הגיש בקשות </w:t>
      </w:r>
      <w:r w:rsidR="005A2D67">
        <w:rPr>
          <w:rFonts w:ascii="Calibri" w:eastAsia="Calibri" w:hAnsi="Calibri" w:cs="Arial" w:hint="cs"/>
          <w:noProof w:val="0"/>
          <w:rtl/>
        </w:rPr>
        <w:t>להסדיר את</w:t>
      </w:r>
      <w:r w:rsidRPr="002203FA">
        <w:rPr>
          <w:rFonts w:ascii="Calibri" w:eastAsia="Calibri" w:hAnsi="Calibri" w:cs="Arial"/>
          <w:noProof w:val="0"/>
          <w:rtl/>
        </w:rPr>
        <w:t xml:space="preserve"> </w:t>
      </w:r>
      <w:r w:rsidR="005A2D67">
        <w:rPr>
          <w:rFonts w:ascii="Calibri" w:eastAsia="Calibri" w:hAnsi="Calibri" w:cs="Arial" w:hint="cs"/>
          <w:noProof w:val="0"/>
          <w:rtl/>
        </w:rPr>
        <w:t>שהייתה</w:t>
      </w:r>
      <w:r w:rsidRPr="002203FA">
        <w:rPr>
          <w:rFonts w:ascii="Calibri" w:eastAsia="Calibri" w:hAnsi="Calibri" w:cs="Arial"/>
          <w:noProof w:val="0"/>
          <w:rtl/>
        </w:rPr>
        <w:t xml:space="preserve"> של אשתו </w:t>
      </w:r>
      <w:r w:rsidR="005A2D67">
        <w:rPr>
          <w:rFonts w:ascii="Calibri" w:eastAsia="Calibri" w:hAnsi="Calibri" w:cs="Arial" w:hint="cs"/>
          <w:noProof w:val="0"/>
          <w:rtl/>
        </w:rPr>
        <w:t>ב</w:t>
      </w:r>
      <w:r w:rsidRPr="002203FA">
        <w:rPr>
          <w:rFonts w:ascii="Calibri" w:eastAsia="Calibri" w:hAnsi="Calibri" w:cs="Arial"/>
          <w:noProof w:val="0"/>
          <w:rtl/>
        </w:rPr>
        <w:t xml:space="preserve">ישראל, </w:t>
      </w:r>
      <w:r w:rsidRPr="002203FA">
        <w:rPr>
          <w:rFonts w:ascii="Miriam" w:eastAsia="Calibri" w:hAnsi="Miriam" w:cs="Miriam"/>
          <w:b/>
          <w:bCs/>
          <w:noProof w:val="0"/>
          <w:rtl/>
        </w:rPr>
        <w:t>"אבל זה היה כדי שהאישה תבקר את ההורים פעם בשנה מחוץ לישראל"</w:t>
      </w:r>
      <w:r w:rsidRPr="002203FA">
        <w:rPr>
          <w:rFonts w:ascii="Calibri" w:eastAsia="Calibri" w:hAnsi="Calibri" w:cs="Arial"/>
          <w:noProof w:val="0"/>
          <w:rtl/>
        </w:rPr>
        <w:t>, ולא כיוון ששהתה בישראל שלא כדין, ולמעשה בקשתם הייתה לאיחוד משפחות</w:t>
      </w:r>
      <w:r w:rsidRPr="002203FA">
        <w:rPr>
          <w:rFonts w:ascii="Miriam" w:eastAsia="Calibri" w:hAnsi="Miriam" w:cs="Miriam"/>
          <w:b/>
          <w:bCs/>
          <w:noProof w:val="0"/>
          <w:rtl/>
        </w:rPr>
        <w:t xml:space="preserve"> </w:t>
      </w:r>
      <w:r w:rsidRPr="002203FA">
        <w:rPr>
          <w:rFonts w:ascii="Arial" w:eastAsia="Calibri" w:hAnsi="Arial" w:cs="Arial"/>
          <w:noProof w:val="0"/>
          <w:rtl/>
        </w:rPr>
        <w:t>(</w:t>
      </w:r>
      <w:r w:rsidRPr="002203FA">
        <w:rPr>
          <w:rFonts w:ascii="Miriam" w:eastAsia="Calibri" w:hAnsi="Miriam" w:cs="Miriam"/>
          <w:b/>
          <w:bCs/>
          <w:noProof w:val="0"/>
          <w:rtl/>
        </w:rPr>
        <w:t>"הגשנו למשרד הפנים בקשה לאיחוד המשפחה ב-2008, אחרי שנתיים וחצי קיבלתי תשובה שלילית. הייתי ביחד עם אשתי במשרד הפנים לא פחות מ-30 פעם ולעולם לא אמרו לי שהיא לא יכולה להיות בישראל או למה היא פה. אחרי הלידה כחודש ימים הלכנו אני והאישה עם תעודת הלידה למשרד הפנים והיו מנפיקים לנו תעודת לידה</w:t>
      </w:r>
      <w:r w:rsidR="005A2D67">
        <w:rPr>
          <w:rFonts w:ascii="Miriam" w:eastAsia="Calibri" w:hAnsi="Miriam" w:cs="Miriam" w:hint="cs"/>
          <w:b/>
          <w:bCs/>
          <w:noProof w:val="0"/>
          <w:rtl/>
        </w:rPr>
        <w:t>.</w:t>
      </w:r>
      <w:r w:rsidRPr="002203FA">
        <w:rPr>
          <w:rFonts w:ascii="Miriam" w:eastAsia="Calibri" w:hAnsi="Miriam" w:cs="Miriam"/>
          <w:b/>
          <w:bCs/>
          <w:noProof w:val="0"/>
          <w:rtl/>
        </w:rPr>
        <w:t xml:space="preserve"> מעולם לא אמרו לי לקחת את האישה לפלסטין"</w:t>
      </w:r>
      <w:r w:rsidR="005A2D67">
        <w:rPr>
          <w:rFonts w:ascii="Calibri" w:eastAsia="Calibri" w:hAnsi="Calibri" w:cs="Arial" w:hint="cs"/>
          <w:noProof w:val="0"/>
          <w:rtl/>
        </w:rPr>
        <w:t>.</w:t>
      </w:r>
      <w:r w:rsidRPr="002203FA">
        <w:rPr>
          <w:rFonts w:ascii="Calibri" w:eastAsia="Calibri" w:hAnsi="Calibri" w:cs="Arial"/>
          <w:noProof w:val="0"/>
          <w:rtl/>
        </w:rPr>
        <w:t xml:space="preserve"> עדות המשיב, שם).</w:t>
      </w:r>
    </w:p>
    <w:p w:rsidR="002203FA" w:rsidRPr="002203FA" w:rsidRDefault="002203FA" w:rsidP="005A2D67">
      <w:pPr>
        <w:spacing w:after="160" w:line="360" w:lineRule="auto"/>
        <w:jc w:val="both"/>
        <w:rPr>
          <w:rFonts w:ascii="Calibri" w:eastAsia="Calibri" w:hAnsi="Calibri" w:cs="Arial"/>
          <w:noProof w:val="0"/>
          <w:rtl/>
        </w:rPr>
      </w:pPr>
      <w:r w:rsidRPr="002203FA">
        <w:rPr>
          <w:rFonts w:ascii="Calibri" w:eastAsia="Calibri" w:hAnsi="Calibri" w:cs="Arial"/>
          <w:noProof w:val="0"/>
          <w:rtl/>
        </w:rPr>
        <w:t>לאחר דברים אלה שהשמיע המשיב בעדותו הראשית (לאחר שהמאשימה הגישה בהסכמה את ההו</w:t>
      </w:r>
      <w:r w:rsidR="0019655B">
        <w:rPr>
          <w:rFonts w:ascii="Calibri" w:eastAsia="Calibri" w:hAnsi="Calibri" w:cs="Arial"/>
          <w:noProof w:val="0"/>
          <w:rtl/>
        </w:rPr>
        <w:t>דעה שהמשיב מסר במשטרה ותע"צ לפי</w:t>
      </w:r>
      <w:r w:rsidR="0019655B">
        <w:rPr>
          <w:rFonts w:ascii="Calibri" w:eastAsia="Calibri" w:hAnsi="Calibri" w:cs="Arial" w:hint="cs"/>
          <w:noProof w:val="0"/>
          <w:rtl/>
        </w:rPr>
        <w:t>ה</w:t>
      </w:r>
      <w:r w:rsidRPr="002203FA">
        <w:rPr>
          <w:rFonts w:ascii="Calibri" w:eastAsia="Calibri" w:hAnsi="Calibri" w:cs="Arial"/>
          <w:noProof w:val="0"/>
          <w:rtl/>
        </w:rPr>
        <w:t xml:space="preserve"> בת זוגו נעדרת אישור כניסה ושהייה בישראל), הודיע ב"כ המשיב, כי המשיב מבקש לחזור בו מהכפירה ולהודות בכתב האישום. עוד ביקש הסנגור, כי בטרם טיעונים לעונש יוגש תסקיר על המשיב אשר יבחן גם את שאלת אי הרשעתו. ב"כ המאשימה הודיע במעמד זה, כי </w:t>
      </w:r>
      <w:r w:rsidRPr="002203FA">
        <w:rPr>
          <w:rFonts w:ascii="Miriam" w:eastAsia="Calibri" w:hAnsi="Miriam" w:cs="Miriam"/>
          <w:b/>
          <w:bCs/>
          <w:noProof w:val="0"/>
          <w:rtl/>
        </w:rPr>
        <w:t>"לא נתנגד לשליחת הנאשם לתסקיר אולם עמדתנו היא להותרת ההרשעה על כנה, כמו כן אנו נעתור להטלת עונש מאסר שיכול וירוצה בעבודות שירות ככל ויימצא מתאים"</w:t>
      </w:r>
      <w:r w:rsidRPr="002203FA">
        <w:rPr>
          <w:rFonts w:ascii="Calibri" w:eastAsia="Calibri" w:hAnsi="Calibri" w:cs="Arial"/>
          <w:noProof w:val="0"/>
          <w:rtl/>
        </w:rPr>
        <w:t xml:space="preserve">. ואכן, המשיב הודה בעובדות כתב האישום; </w:t>
      </w:r>
      <w:r w:rsidRPr="002203FA">
        <w:rPr>
          <w:rFonts w:ascii="Calibri" w:eastAsia="Calibri" w:hAnsi="Calibri" w:cs="Arial"/>
          <w:b/>
          <w:bCs/>
          <w:noProof w:val="0"/>
          <w:rtl/>
        </w:rPr>
        <w:t>הורשע בביצוע עבירה לפי סעיף 12ב2(א)(1) לחוק הכניסה לישראל, תשי"ב–1952</w:t>
      </w:r>
      <w:r w:rsidR="005A2D67">
        <w:rPr>
          <w:rFonts w:ascii="Calibri" w:eastAsia="Calibri" w:hAnsi="Calibri" w:cs="Arial" w:hint="cs"/>
          <w:noProof w:val="0"/>
          <w:rtl/>
        </w:rPr>
        <w:t>, כפי שיוחס לו בכתב האישום</w:t>
      </w:r>
      <w:r w:rsidRPr="002203FA">
        <w:rPr>
          <w:rFonts w:ascii="Calibri" w:eastAsia="Calibri" w:hAnsi="Calibri" w:cs="Arial"/>
          <w:noProof w:val="0"/>
          <w:rtl/>
        </w:rPr>
        <w:t>; והופנה אל שירות המבחן על מנת שיוגש עליו תסקיר טרם הטיעונים לעונש. במקביל התבקש גם הממונה על עבודות שירות ליתן חוות דעת בדבר האפשרות, כי המשיב ירצה עונש מאסר, במידה ויוטל עליו, בדרך של עבודות שירות.</w:t>
      </w:r>
    </w:p>
    <w:p w:rsidR="002203FA" w:rsidRPr="002203FA" w:rsidRDefault="002203FA" w:rsidP="002203FA">
      <w:pPr>
        <w:spacing w:after="160" w:line="360" w:lineRule="auto"/>
        <w:jc w:val="both"/>
        <w:rPr>
          <w:rFonts w:ascii="Calibri" w:eastAsia="Calibri" w:hAnsi="Calibri" w:cs="Arial"/>
          <w:noProof w:val="0"/>
          <w:rtl/>
        </w:rPr>
      </w:pPr>
      <w:r w:rsidRPr="002203FA">
        <w:rPr>
          <w:rFonts w:ascii="Calibri" w:eastAsia="Calibri" w:hAnsi="Calibri" w:cs="Arial"/>
          <w:b/>
          <w:bCs/>
          <w:noProof w:val="0"/>
          <w:rtl/>
        </w:rPr>
        <w:t xml:space="preserve">תסקיר שירות המבחן </w:t>
      </w:r>
      <w:r w:rsidRPr="002203FA">
        <w:rPr>
          <w:rFonts w:ascii="Calibri" w:eastAsia="Calibri" w:hAnsi="Calibri" w:cs="Arial"/>
          <w:noProof w:val="0"/>
          <w:rtl/>
        </w:rPr>
        <w:t>(הוגש ביום 30.10.22) מפרט את נסיבותיו האישיות של המשיב, ולפיו המשיב כבן 61, נשוי ואב ל-21 ילדים משלוש נשים שונות; סיים 12 שנות לימוד ללא תעודת בגרות (מבית ספר "עמל" בבאר-שבע); סיים לימודי הנדסאי מכונות ב"מכללה הטכנולוגית" בהיותו כבן 20; עבד במסגרייה במשך כ-15 שנה עד שפתח עסק עצמאי בתחום המסגרות; ומזה כ-32 שנה הוא בעל עסק עצמאי בשם "מתכת התקווה".</w:t>
      </w:r>
    </w:p>
    <w:p w:rsidR="002203FA" w:rsidRPr="002203FA" w:rsidRDefault="002203FA" w:rsidP="00735884">
      <w:pPr>
        <w:spacing w:after="160" w:line="360" w:lineRule="auto"/>
        <w:jc w:val="both"/>
        <w:rPr>
          <w:rFonts w:ascii="Calibri" w:eastAsia="Calibri" w:hAnsi="Calibri" w:cs="Arial"/>
          <w:noProof w:val="0"/>
          <w:rtl/>
        </w:rPr>
      </w:pPr>
      <w:r w:rsidRPr="002203FA">
        <w:rPr>
          <w:rFonts w:ascii="Calibri" w:eastAsia="Calibri" w:hAnsi="Calibri" w:cs="Arial"/>
          <w:noProof w:val="0"/>
          <w:rtl/>
        </w:rPr>
        <w:lastRenderedPageBreak/>
        <w:t xml:space="preserve">המשיב </w:t>
      </w:r>
      <w:r w:rsidR="00735884">
        <w:rPr>
          <w:rFonts w:ascii="Calibri" w:eastAsia="Calibri" w:hAnsi="Calibri" w:cs="Arial" w:hint="cs"/>
          <w:noProof w:val="0"/>
          <w:rtl/>
        </w:rPr>
        <w:t>היה נשוי</w:t>
      </w:r>
      <w:r w:rsidRPr="002203FA">
        <w:rPr>
          <w:rFonts w:ascii="Calibri" w:eastAsia="Calibri" w:hAnsi="Calibri" w:cs="Arial"/>
          <w:noProof w:val="0"/>
          <w:rtl/>
        </w:rPr>
        <w:t xml:space="preserve"> ל-3 נשים, כאשר מהאישה הראשונה, ממנה התגרש בשנת 2005, נולדו לו 10 ילדים (בני 40-22); בשנת 2004 ניהל מערכת יחסים נוספת ממנה נולדו לו שני ילדים (בני 20 ו-21); ולאשתו הנוכחית, תושבת השטחים, נישא בשנת 2006, ומנישואין אלה יש לו 9 ילדים (בני 15-1.5 שנים). המשיב ציין בפני שירות המבחן, כי אחד מילדיו משרת בצבא; כי הוא ביחסים טובים עם גרושתו; כי הוא דואג כלכלית לכל ילדיו ומממן את לימודיהם האקדמיים (בירדן); וכי אין קושי כלכלי במשפחתו, כאשר הוא מודע לאחריות הכלכלית הגדולה המוטלת עליו.</w:t>
      </w:r>
    </w:p>
    <w:p w:rsidR="002203FA" w:rsidRPr="002203FA" w:rsidRDefault="002203FA" w:rsidP="008E21F3">
      <w:pPr>
        <w:spacing w:after="160" w:line="360" w:lineRule="auto"/>
        <w:jc w:val="both"/>
        <w:rPr>
          <w:rFonts w:ascii="Calibri" w:eastAsia="Calibri" w:hAnsi="Calibri" w:cs="Arial"/>
          <w:noProof w:val="0"/>
          <w:rtl/>
        </w:rPr>
      </w:pPr>
      <w:r w:rsidRPr="002203FA">
        <w:rPr>
          <w:rFonts w:ascii="Calibri" w:eastAsia="Calibri" w:hAnsi="Calibri" w:cs="Arial"/>
          <w:noProof w:val="0"/>
          <w:rtl/>
        </w:rPr>
        <w:t>המשיב סיפר עוד, כי הכיר את אשתו הנוכחית בדרום חברון לפני כ-15 שנה; היא מתגוררת עמו משנת 2006, ועם חתונתם הוציאו תעודת נישואי</w:t>
      </w:r>
      <w:r w:rsidR="008E21F3">
        <w:rPr>
          <w:rFonts w:ascii="Calibri" w:eastAsia="Calibri" w:hAnsi="Calibri" w:cs="Arial" w:hint="cs"/>
          <w:noProof w:val="0"/>
          <w:rtl/>
        </w:rPr>
        <w:t>ן</w:t>
      </w:r>
      <w:r w:rsidRPr="002203FA">
        <w:rPr>
          <w:rFonts w:ascii="Calibri" w:eastAsia="Calibri" w:hAnsi="Calibri" w:cs="Arial"/>
          <w:noProof w:val="0"/>
          <w:rtl/>
        </w:rPr>
        <w:t xml:space="preserve"> בבית הדין השרעי; לאורך השנים ניסה להסדיר את שהייתה בישראל; </w:t>
      </w:r>
      <w:r w:rsidRPr="002203FA">
        <w:rPr>
          <w:rFonts w:ascii="Miriam" w:eastAsia="Calibri" w:hAnsi="Miriam" w:cs="Miriam"/>
          <w:b/>
          <w:bCs/>
          <w:noProof w:val="0"/>
          <w:rtl/>
        </w:rPr>
        <w:t>"כאשר נולדו שני ילדיו הראשונים, נאלץ לבצע בדיקת רקמות בכדי שיירשמו בתעודת הזהות שלו, וששת ילדיו הבאים נרשמו בתעודת הזהות שלו באופן אוטומטי. לדבריו, כיום, כאשר ביקש לרשום את בנו השביעי, נתקל בקושי מאחר ולא מאפשרים לו זאת"</w:t>
      </w:r>
      <w:r w:rsidRPr="002203FA">
        <w:rPr>
          <w:rFonts w:ascii="Calibri" w:eastAsia="Calibri" w:hAnsi="Calibri" w:cs="Arial"/>
          <w:noProof w:val="0"/>
          <w:rtl/>
        </w:rPr>
        <w:t xml:space="preserve"> (בהערה יוער, כי בנו התשיעי של המשיב הוא שנולד לאחרונה ולא בנו השביעי); </w:t>
      </w:r>
      <w:r w:rsidRPr="002203FA">
        <w:rPr>
          <w:rFonts w:ascii="Miriam" w:eastAsia="Calibri" w:hAnsi="Miriam" w:cs="Miriam"/>
          <w:b/>
          <w:bCs/>
          <w:noProof w:val="0"/>
          <w:rtl/>
        </w:rPr>
        <w:t>"הגיש לפני כעשר שנים בקשה לאיחוד משפחות, אשר לא התקבלה"</w:t>
      </w:r>
      <w:r w:rsidRPr="002203FA">
        <w:rPr>
          <w:rFonts w:ascii="Calibri" w:eastAsia="Calibri" w:hAnsi="Calibri" w:cs="Arial"/>
          <w:noProof w:val="0"/>
          <w:rtl/>
        </w:rPr>
        <w:t>; ומאחר וילדיו נולדו בסורוקה</w:t>
      </w:r>
      <w:r w:rsidR="008E21F3">
        <w:rPr>
          <w:rFonts w:ascii="Calibri" w:eastAsia="Calibri" w:hAnsi="Calibri" w:cs="Arial" w:hint="cs"/>
          <w:noProof w:val="0"/>
          <w:rtl/>
        </w:rPr>
        <w:t>,</w:t>
      </w:r>
      <w:r w:rsidRPr="002203FA">
        <w:rPr>
          <w:rFonts w:ascii="Calibri" w:eastAsia="Calibri" w:hAnsi="Calibri" w:cs="Arial"/>
          <w:noProof w:val="0"/>
          <w:rtl/>
        </w:rPr>
        <w:t xml:space="preserve"> ואשתו מבוטחת בקופת חולים, לא הבין כי הוא מבצע עבירה. </w:t>
      </w:r>
    </w:p>
    <w:p w:rsidR="002203FA" w:rsidRPr="002203FA" w:rsidRDefault="002203FA" w:rsidP="002203FA">
      <w:pPr>
        <w:spacing w:after="160" w:line="360" w:lineRule="auto"/>
        <w:jc w:val="both"/>
        <w:rPr>
          <w:rFonts w:ascii="Calibri" w:eastAsia="Calibri" w:hAnsi="Calibri" w:cs="Arial"/>
          <w:noProof w:val="0"/>
          <w:rtl/>
        </w:rPr>
      </w:pPr>
      <w:r w:rsidRPr="002203FA">
        <w:rPr>
          <w:rFonts w:ascii="Calibri" w:eastAsia="Calibri" w:hAnsi="Calibri" w:cs="Arial"/>
          <w:noProof w:val="0"/>
          <w:rtl/>
        </w:rPr>
        <w:t xml:space="preserve">שירות המבחן ציין, כי אמנם המשיב בעל יכולות חיוביות לתפקוד תקין, אולם הוא אינו מצליח לבחון את התנהלותו הבעייתית בעבירה הנוכחית; התרשם, כי </w:t>
      </w:r>
      <w:r w:rsidRPr="002203FA">
        <w:rPr>
          <w:rFonts w:ascii="Miriam" w:eastAsia="Calibri" w:hAnsi="Miriam" w:cs="Miriam"/>
          <w:b/>
          <w:bCs/>
          <w:noProof w:val="0"/>
          <w:rtl/>
        </w:rPr>
        <w:t>"במצבי חיים שונים, כפי שבא לידי ביטוי בביצוע עבירות קודמות, והן בעבירה הנוכחית, ע' פעל באופן שאינו מפעיל שיקול דעת מעמיק אודות מעשיו והשלכותיהם"</w:t>
      </w:r>
      <w:r w:rsidRPr="002203FA">
        <w:rPr>
          <w:rFonts w:ascii="Calibri" w:eastAsia="Calibri" w:hAnsi="Calibri" w:cs="Arial"/>
          <w:noProof w:val="0"/>
          <w:rtl/>
        </w:rPr>
        <w:t>; וסבר, כי ההליך המשפטי מרתיע את המשיב, אשר מבטא דאגה לעתיד משפחתו וילדיו. בסיום התסקיר, הוסיף שירות המבחן, כי לאחר שלקח את כל הנתונים בחשבון (</w:t>
      </w:r>
      <w:r w:rsidRPr="002203FA">
        <w:rPr>
          <w:rFonts w:ascii="Miriam" w:eastAsia="Calibri" w:hAnsi="Miriam" w:cs="Miriam"/>
          <w:b/>
          <w:bCs/>
          <w:noProof w:val="0"/>
          <w:rtl/>
        </w:rPr>
        <w:t>"כי לעיתים עלול לפעול בקלות ראש כפי שבא לידי ביטוי בעבירותיו הקודמות... בעל תפקוד נורמטיבי לרוב, אשר שואף להתפתחות אישית, מקצועית ודואג לעתיד משפחתו וילדיו... הביע רצון לאורך השנים להסדיר שהייתה של אשתו במדינת ישראל ופעל למען מטרה זאת.. שיתף פעולה עמנו... ואינו בעל דפוסים שוליים מושרשים ולא פעל באופן מתוכנן כמתואר בכתב האישום מתוך הבנה מעמיקה של מעשיו ומשמעותם"</w:t>
      </w:r>
      <w:r w:rsidRPr="002203FA">
        <w:rPr>
          <w:rFonts w:ascii="Calibri" w:eastAsia="Calibri" w:hAnsi="Calibri" w:cs="Arial"/>
          <w:noProof w:val="0"/>
          <w:rtl/>
        </w:rPr>
        <w:t>) המלצתו הינה לשקול ביטול הרשעתו של המשיב ולהטיל עליו צו של"צ בהיקף של 120 שעות (</w:t>
      </w:r>
      <w:r w:rsidRPr="002203FA">
        <w:rPr>
          <w:rFonts w:ascii="Miriam" w:eastAsia="Calibri" w:hAnsi="Miriam" w:cs="Miriam"/>
          <w:b/>
          <w:bCs/>
          <w:noProof w:val="0"/>
          <w:rtl/>
        </w:rPr>
        <w:t>"להערכתנו ענישה מסוג זה תהווה מחד פיצוי לחברה על הפגיעה בה והעבירה על החוק. מאידך, תהווה חיזוק לכוחות התפקוד החיוביים של ע' ותאפשר לו לחיות לצד משפחתו"</w:t>
      </w:r>
      <w:r w:rsidRPr="002203FA">
        <w:rPr>
          <w:rFonts w:ascii="Calibri" w:eastAsia="Calibri" w:hAnsi="Calibri" w:cs="Arial"/>
          <w:noProof w:val="0"/>
          <w:rtl/>
        </w:rPr>
        <w:t>).</w:t>
      </w:r>
    </w:p>
    <w:p w:rsidR="002203FA" w:rsidRPr="002203FA" w:rsidRDefault="002203FA" w:rsidP="002203FA">
      <w:pPr>
        <w:spacing w:after="160" w:line="360" w:lineRule="auto"/>
        <w:jc w:val="both"/>
        <w:rPr>
          <w:rFonts w:ascii="Calibri" w:eastAsia="Calibri" w:hAnsi="Calibri" w:cs="Arial"/>
          <w:noProof w:val="0"/>
          <w:rtl/>
        </w:rPr>
      </w:pPr>
      <w:r w:rsidRPr="002203FA">
        <w:rPr>
          <w:rFonts w:ascii="Calibri" w:eastAsia="Calibri" w:hAnsi="Calibri" w:cs="Arial"/>
          <w:b/>
          <w:bCs/>
          <w:noProof w:val="0"/>
          <w:rtl/>
        </w:rPr>
        <w:lastRenderedPageBreak/>
        <w:t>חוות הדעת מטעם הממונה על עבודות השירות</w:t>
      </w:r>
      <w:r w:rsidRPr="002203FA">
        <w:rPr>
          <w:rFonts w:ascii="Calibri" w:eastAsia="Calibri" w:hAnsi="Calibri" w:cs="Arial"/>
          <w:noProof w:val="0"/>
          <w:rtl/>
        </w:rPr>
        <w:t xml:space="preserve"> הוגשה ביום 30.05.22 וממנה עולה, כי המשיב יוכל לרצות עונש של מאסר בדרך של עבודות שירות במגבלות ובהתאם לכשירותו הרפואית.</w:t>
      </w:r>
    </w:p>
    <w:p w:rsidR="002203FA" w:rsidRPr="002203FA" w:rsidRDefault="002203FA" w:rsidP="008E21F3">
      <w:pPr>
        <w:spacing w:after="160" w:line="360" w:lineRule="auto"/>
        <w:jc w:val="both"/>
        <w:rPr>
          <w:rFonts w:ascii="Calibri" w:eastAsia="Calibri" w:hAnsi="Calibri" w:cs="Arial"/>
          <w:noProof w:val="0"/>
          <w:rtl/>
        </w:rPr>
      </w:pPr>
      <w:r w:rsidRPr="002203FA">
        <w:rPr>
          <w:rFonts w:ascii="Calibri" w:eastAsia="Calibri" w:hAnsi="Calibri" w:cs="Arial"/>
          <w:noProof w:val="0"/>
          <w:rtl/>
        </w:rPr>
        <w:t xml:space="preserve">במסגרת </w:t>
      </w:r>
      <w:r w:rsidRPr="002203FA">
        <w:rPr>
          <w:rFonts w:ascii="Calibri" w:eastAsia="Calibri" w:hAnsi="Calibri" w:cs="Arial"/>
          <w:b/>
          <w:bCs/>
          <w:noProof w:val="0"/>
          <w:rtl/>
        </w:rPr>
        <w:t>הטיעונים לעונש</w:t>
      </w:r>
      <w:r w:rsidRPr="002203FA">
        <w:rPr>
          <w:rFonts w:ascii="Calibri" w:eastAsia="Calibri" w:hAnsi="Calibri" w:cs="Arial"/>
          <w:noProof w:val="0"/>
          <w:rtl/>
        </w:rPr>
        <w:t xml:space="preserve"> (ישיבת יום 08.01.23), עמד </w:t>
      </w:r>
      <w:r w:rsidRPr="002203FA">
        <w:rPr>
          <w:rFonts w:ascii="Calibri" w:eastAsia="Calibri" w:hAnsi="Calibri" w:cs="Arial"/>
          <w:b/>
          <w:bCs/>
          <w:noProof w:val="0"/>
          <w:rtl/>
        </w:rPr>
        <w:t>ב"כ המאשימה</w:t>
      </w:r>
      <w:r w:rsidRPr="002203FA">
        <w:rPr>
          <w:rFonts w:ascii="Calibri" w:eastAsia="Calibri" w:hAnsi="Calibri" w:cs="Arial"/>
          <w:noProof w:val="0"/>
          <w:rtl/>
        </w:rPr>
        <w:t xml:space="preserve"> (הן בטיעוניו בכתב והן בהשלמת הטיעונים בעל פה) על חומרת מעשי המשיב; ציין, כי </w:t>
      </w:r>
      <w:r w:rsidRPr="002203FA">
        <w:rPr>
          <w:rFonts w:ascii="Miriam" w:eastAsia="Calibri" w:hAnsi="Miriam" w:cs="Miriam"/>
          <w:b/>
          <w:bCs/>
          <w:noProof w:val="0"/>
          <w:rtl/>
        </w:rPr>
        <w:t>"המתחם לו עותרת המאשימה נע בין 6 ל-14 חודשי מאסר בשים לב לכך שהלין את השוהה הבלתי חוקית במשך 14 שנה ברציפות"</w:t>
      </w:r>
      <w:r w:rsidRPr="002203FA">
        <w:rPr>
          <w:rFonts w:ascii="Calibri" w:eastAsia="Calibri" w:hAnsi="Calibri" w:cs="Arial"/>
          <w:noProof w:val="0"/>
          <w:rtl/>
        </w:rPr>
        <w:t xml:space="preserve">; הפנה לפסיקה בה </w:t>
      </w:r>
      <w:r w:rsidRPr="002203FA">
        <w:rPr>
          <w:rFonts w:ascii="Miriam" w:eastAsia="Calibri" w:hAnsi="Miriam" w:cs="Miriam"/>
          <w:b/>
          <w:bCs/>
          <w:noProof w:val="0"/>
          <w:rtl/>
        </w:rPr>
        <w:t>"אפילו בתקופות קצרות יותר, גם כשמדובר בבני זוג, נקבעו אפילו מתחמים גבוהים מזה שאני עתרתי לו"</w:t>
      </w:r>
      <w:r w:rsidRPr="002203FA">
        <w:rPr>
          <w:rFonts w:ascii="Calibri" w:eastAsia="Calibri" w:hAnsi="Calibri" w:cs="Arial"/>
          <w:noProof w:val="0"/>
          <w:rtl/>
        </w:rPr>
        <w:t xml:space="preserve">; ביקש </w:t>
      </w:r>
      <w:r w:rsidRPr="002203FA">
        <w:rPr>
          <w:rFonts w:ascii="Miriam" w:eastAsia="Calibri" w:hAnsi="Miriam" w:cs="Miriam"/>
          <w:b/>
          <w:bCs/>
          <w:noProof w:val="0"/>
          <w:rtl/>
        </w:rPr>
        <w:t>"לקבוע מתחם לעניין הקנס שנע בין 8,000 עד 25,000 ₪"</w:t>
      </w:r>
      <w:r w:rsidRPr="002203FA">
        <w:rPr>
          <w:rFonts w:ascii="Calibri" w:eastAsia="Calibri" w:hAnsi="Calibri" w:cs="Arial"/>
          <w:noProof w:val="0"/>
          <w:rtl/>
        </w:rPr>
        <w:t xml:space="preserve">; והוסיף, כי </w:t>
      </w:r>
      <w:r w:rsidRPr="002203FA">
        <w:rPr>
          <w:rFonts w:ascii="Miriam" w:eastAsia="Calibri" w:hAnsi="Miriam" w:cs="Miriam"/>
          <w:b/>
          <w:bCs/>
          <w:noProof w:val="0"/>
          <w:rtl/>
        </w:rPr>
        <w:t>"בתוך המתחם אנו מבקשים לקבוע את עונשו בחלק התחתון, וכן להשית ענישה נלווית"</w:t>
      </w:r>
      <w:r w:rsidRPr="002203FA">
        <w:rPr>
          <w:rFonts w:ascii="Calibri" w:eastAsia="Calibri" w:hAnsi="Calibri" w:cs="Arial"/>
          <w:noProof w:val="0"/>
          <w:rtl/>
        </w:rPr>
        <w:t xml:space="preserve">. בכל הנוגע לעתירת ההגנה לביטול ההרשעה, ציין ב"כ המערערת, כי </w:t>
      </w:r>
      <w:r w:rsidRPr="002203FA">
        <w:rPr>
          <w:rFonts w:ascii="Miriam" w:eastAsia="Calibri" w:hAnsi="Miriam" w:cs="Miriam"/>
          <w:b/>
          <w:bCs/>
          <w:noProof w:val="0"/>
          <w:rtl/>
        </w:rPr>
        <w:t>"מדובר בעתירה שלא מתבססת על נתונים, אינה עומדת בהלכות בית המשפט לעניין הימנעות מהרשעה ועל כן, אנו סבורים שאין לקבלה"</w:t>
      </w:r>
      <w:r w:rsidRPr="002203FA">
        <w:rPr>
          <w:rFonts w:ascii="Calibri" w:eastAsia="Calibri" w:hAnsi="Calibri" w:cs="Arial"/>
          <w:noProof w:val="0"/>
          <w:rtl/>
        </w:rPr>
        <w:t>.</w:t>
      </w:r>
    </w:p>
    <w:p w:rsidR="002203FA" w:rsidRPr="002203FA" w:rsidRDefault="002203FA" w:rsidP="00676EBD">
      <w:pPr>
        <w:spacing w:after="160" w:line="360" w:lineRule="auto"/>
        <w:jc w:val="both"/>
        <w:rPr>
          <w:rFonts w:ascii="Calibri" w:eastAsia="Calibri" w:hAnsi="Calibri" w:cs="Arial"/>
          <w:noProof w:val="0"/>
          <w:rtl/>
        </w:rPr>
      </w:pPr>
      <w:r w:rsidRPr="002203FA">
        <w:rPr>
          <w:rFonts w:ascii="Calibri" w:eastAsia="Calibri" w:hAnsi="Calibri" w:cs="Arial"/>
          <w:noProof w:val="0"/>
          <w:rtl/>
        </w:rPr>
        <w:t xml:space="preserve">לעומתו עתרה </w:t>
      </w:r>
      <w:r w:rsidRPr="002203FA">
        <w:rPr>
          <w:rFonts w:ascii="Calibri" w:eastAsia="Calibri" w:hAnsi="Calibri" w:cs="Arial"/>
          <w:b/>
          <w:bCs/>
          <w:noProof w:val="0"/>
          <w:rtl/>
        </w:rPr>
        <w:t>באת כוח המשיב</w:t>
      </w:r>
      <w:r w:rsidRPr="002203FA">
        <w:rPr>
          <w:rFonts w:ascii="Calibri" w:eastAsia="Calibri" w:hAnsi="Calibri" w:cs="Arial"/>
          <w:noProof w:val="0"/>
          <w:rtl/>
        </w:rPr>
        <w:t xml:space="preserve"> (הן בטיעונים שבכתב והן באלה שבעל-פה) לבטל את הרשעתו של המשיב תוך שטענה, כי </w:t>
      </w:r>
      <w:r w:rsidRPr="002203FA">
        <w:rPr>
          <w:rFonts w:ascii="Miriam" w:eastAsia="Calibri" w:hAnsi="Miriam" w:cs="Miriam"/>
          <w:b/>
          <w:bCs/>
          <w:noProof w:val="0"/>
          <w:rtl/>
        </w:rPr>
        <w:t>"המקרה שלפנינו הוא מקרה חריג. הגם שהתקיימו היסודות העובדתיים של העבירה, אין מדובר במקרה קלאסי שבו העבריין פעל. החוק למעשה בא להגן על ערכים של ריבונות המדינה, לבחון תושביה וכן שוק עבודה מבוקר, למנוע עבודה שהיא בלתי מפוקחת. המקרה שלפנינו באמת שונה, מדובר בנאשם שהלין למעשה את אשתו, מדובר בקיום של חיי משפחה תקינים. כל חטאו היה בכך שהוא רצה לשמור על התא המשפחתי, שהוא מבחינתו ערך שבתי המשפט דוגלים בו"</w:t>
      </w:r>
      <w:r w:rsidRPr="002203FA">
        <w:rPr>
          <w:rFonts w:ascii="Calibri" w:eastAsia="Calibri" w:hAnsi="Calibri" w:cs="Arial"/>
          <w:noProof w:val="0"/>
          <w:rtl/>
        </w:rPr>
        <w:t xml:space="preserve"> (שם). ב"כ המשיב הוסיפה וטענה, כי במקרה שבפנינו מתקיימים הכללים שנקבעו בפסק הדין </w:t>
      </w:r>
      <w:r w:rsidRPr="002203FA">
        <w:rPr>
          <w:rFonts w:ascii="Calibri" w:eastAsia="Calibri" w:hAnsi="Calibri" w:cs="Arial"/>
          <w:b/>
          <w:bCs/>
          <w:noProof w:val="0"/>
          <w:rtl/>
        </w:rPr>
        <w:t>כתב</w:t>
      </w:r>
      <w:r w:rsidR="00676EBD">
        <w:rPr>
          <w:rFonts w:ascii="Calibri" w:eastAsia="Calibri" w:hAnsi="Calibri" w:cs="Arial"/>
          <w:noProof w:val="0"/>
          <w:rtl/>
        </w:rPr>
        <w:t xml:space="preserve"> (העבירה איננה מן החמורות ו</w:t>
      </w:r>
      <w:r w:rsidRPr="002203FA">
        <w:rPr>
          <w:rFonts w:ascii="Miriam" w:eastAsia="Calibri" w:hAnsi="Miriam" w:cs="Miriam"/>
          <w:b/>
          <w:bCs/>
          <w:noProof w:val="0"/>
          <w:rtl/>
        </w:rPr>
        <w:t>"הרשעה פלילית עלולה לפגוע בפרנסתו ובמאמציו של הנאשם לחיות חיים נורמטיביים ולגדל את  9 ילדיו בכבוד"</w:t>
      </w:r>
      <w:r w:rsidRPr="002203FA">
        <w:rPr>
          <w:rFonts w:ascii="Calibri" w:eastAsia="Calibri" w:hAnsi="Calibri" w:cs="Arial"/>
          <w:noProof w:val="0"/>
          <w:rtl/>
        </w:rPr>
        <w:t>, שם); הפנתה לפסיקה התומכת בעמדתה; טענה, כי יש לחרוג לקולא ממתחם העונש מטעמי צדק (</w:t>
      </w:r>
      <w:r w:rsidRPr="002203FA">
        <w:rPr>
          <w:rFonts w:ascii="Miriam" w:eastAsia="Calibri" w:hAnsi="Miriam" w:cs="Miriam"/>
          <w:b/>
          <w:bCs/>
          <w:noProof w:val="0"/>
          <w:rtl/>
        </w:rPr>
        <w:t>"מפנה לע"פ 5669/14, פסקה 214-216, לפוליאנסקי נגד מדינת ישראל, שם נקבע כי ניתן לחרוג גם משיקולי צדק במקרים חריגים וכי סטייה זו נגזרת מרוח חוק יסוד האדם וחירותו"</w:t>
      </w:r>
      <w:r w:rsidRPr="002203FA">
        <w:rPr>
          <w:rFonts w:ascii="Calibri" w:eastAsia="Calibri" w:hAnsi="Calibri" w:cs="Arial"/>
          <w:noProof w:val="0"/>
          <w:rtl/>
        </w:rPr>
        <w:t>); הדגישה את העובדה שהמשיב מנסה מזה שנים ארוכות להסדיר את מעמדה המשפטי של אשתו (</w:t>
      </w:r>
      <w:r w:rsidRPr="002203FA">
        <w:rPr>
          <w:rFonts w:ascii="Miriam" w:eastAsia="Calibri" w:hAnsi="Miriam" w:cs="Miriam"/>
          <w:b/>
          <w:bCs/>
          <w:noProof w:val="0"/>
          <w:rtl/>
        </w:rPr>
        <w:t>"הגשתי מסמכים המעידים על כך שהנאשם ניסה להסדיר את מעמדה כבר בשנת 2012"</w:t>
      </w:r>
      <w:r w:rsidRPr="002203FA">
        <w:rPr>
          <w:rFonts w:ascii="Calibri" w:eastAsia="Calibri" w:hAnsi="Calibri" w:cs="Arial"/>
          <w:noProof w:val="0"/>
          <w:rtl/>
        </w:rPr>
        <w:t xml:space="preserve">); הוסיפה, כי </w:t>
      </w:r>
      <w:r w:rsidRPr="002203FA">
        <w:rPr>
          <w:rFonts w:ascii="Miriam" w:eastAsia="Calibri" w:hAnsi="Miriam" w:cs="Miriam"/>
          <w:b/>
          <w:bCs/>
          <w:noProof w:val="0"/>
          <w:rtl/>
        </w:rPr>
        <w:t>"מדובר בנאשם בן 61, אב ל-21 ילדים, המטפל באמו, מפרנס יחיד..."</w:t>
      </w:r>
      <w:r w:rsidRPr="002203FA">
        <w:rPr>
          <w:rFonts w:ascii="Calibri" w:eastAsia="Calibri" w:hAnsi="Calibri" w:cs="Arial"/>
          <w:noProof w:val="0"/>
          <w:rtl/>
        </w:rPr>
        <w:t>; צטטה מהמלצות שירות המבחן</w:t>
      </w:r>
      <w:r w:rsidR="00676EBD">
        <w:rPr>
          <w:rFonts w:ascii="Calibri" w:eastAsia="Calibri" w:hAnsi="Calibri" w:cs="Arial" w:hint="cs"/>
          <w:noProof w:val="0"/>
          <w:rtl/>
        </w:rPr>
        <w:t>,</w:t>
      </w:r>
      <w:r w:rsidRPr="002203FA">
        <w:rPr>
          <w:rFonts w:ascii="Calibri" w:eastAsia="Calibri" w:hAnsi="Calibri" w:cs="Arial"/>
          <w:noProof w:val="0"/>
          <w:rtl/>
        </w:rPr>
        <w:t xml:space="preserve"> אשר </w:t>
      </w:r>
      <w:r w:rsidRPr="002203FA">
        <w:rPr>
          <w:rFonts w:ascii="Miriam" w:eastAsia="Calibri" w:hAnsi="Miriam" w:cs="Miriam"/>
          <w:b/>
          <w:bCs/>
          <w:noProof w:val="0"/>
          <w:rtl/>
        </w:rPr>
        <w:t xml:space="preserve">"התרשם שמדובר באדם נורמטיבי, שדואג למשפחתו ומפרנסם בכבוד. מדובר במשפחה מרובת ילדים והומלץ על של"צ </w:t>
      </w:r>
      <w:r w:rsidRPr="002203FA">
        <w:rPr>
          <w:rFonts w:ascii="Miriam" w:eastAsia="Calibri" w:hAnsi="Miriam" w:cs="Miriam"/>
          <w:b/>
          <w:bCs/>
          <w:noProof w:val="0"/>
          <w:rtl/>
        </w:rPr>
        <w:lastRenderedPageBreak/>
        <w:t>בהיקף של 120 שעות"</w:t>
      </w:r>
      <w:r w:rsidRPr="002203FA">
        <w:rPr>
          <w:rFonts w:ascii="Calibri" w:eastAsia="Calibri" w:hAnsi="Calibri" w:cs="Arial"/>
          <w:noProof w:val="0"/>
          <w:rtl/>
        </w:rPr>
        <w:t xml:space="preserve">; ציינה, כי עברו הפלילי של המשיב ישן; וביקשה לאמץ את המלצת שירות המבחן ולהטיל על המשיב של"צ. </w:t>
      </w:r>
    </w:p>
    <w:p w:rsidR="002203FA" w:rsidRPr="002203FA" w:rsidRDefault="002203FA" w:rsidP="002203FA">
      <w:pPr>
        <w:spacing w:after="160" w:line="360" w:lineRule="auto"/>
        <w:jc w:val="both"/>
        <w:rPr>
          <w:rFonts w:ascii="Calibri" w:eastAsia="Calibri" w:hAnsi="Calibri" w:cs="Arial"/>
          <w:noProof w:val="0"/>
          <w:rtl/>
        </w:rPr>
      </w:pPr>
      <w:r w:rsidRPr="002203FA">
        <w:rPr>
          <w:rFonts w:ascii="Calibri" w:eastAsia="Calibri" w:hAnsi="Calibri" w:cs="Arial"/>
          <w:b/>
          <w:bCs/>
          <w:noProof w:val="0"/>
          <w:rtl/>
        </w:rPr>
        <w:t>המשיב</w:t>
      </w:r>
      <w:r w:rsidRPr="002203FA">
        <w:rPr>
          <w:rFonts w:ascii="Calibri" w:eastAsia="Calibri" w:hAnsi="Calibri" w:cs="Arial"/>
          <w:noProof w:val="0"/>
          <w:rtl/>
        </w:rPr>
        <w:t xml:space="preserve"> טען, כי </w:t>
      </w:r>
      <w:r w:rsidRPr="002203FA">
        <w:rPr>
          <w:rFonts w:ascii="Miriam" w:eastAsia="Calibri" w:hAnsi="Miriam" w:cs="Miriam"/>
          <w:b/>
          <w:bCs/>
          <w:noProof w:val="0"/>
          <w:rtl/>
        </w:rPr>
        <w:t>"ראשית כל, אני מצטער שהתביעה מציירים אותי כעבריין למרות שאני לא כך. אני התחתנתי עם אשתי בשנת 2005 כשלא היו מחסומים בכלל ולא היה צורך בהיתר כניסה לישראל. אני הגשתי בקשה שתהיה לה אזרחות ישראלית ואפילו רשמו לי את אשתי בתעודה הזהות, ללא מספר ת.ז אבל שמה רשום בתעודת הזהות שלי. במקביל, הגשתי בקשה פעם ראשונה ודחו אותה. הגשתי בקשה שנייה וגם שם דחו לי את הבקשה... הגשתי ערר ושם אמרו לי למחוק את הערר בהסכמה. היום אני אבא ל-9 ילדים בלי אימא. הקטן הוא בן שנה ו-8 חודשים. אני לא רואה את עצמי כבן אדם שיכול לפרנס, להכין להם לאכול ולהיות איתם בבית"</w:t>
      </w:r>
      <w:r w:rsidRPr="002203FA">
        <w:rPr>
          <w:rFonts w:ascii="Calibri" w:eastAsia="Calibri" w:hAnsi="Calibri" w:cs="Arial"/>
          <w:noProof w:val="0"/>
          <w:rtl/>
        </w:rPr>
        <w:t>.</w:t>
      </w:r>
    </w:p>
    <w:p w:rsidR="002203FA" w:rsidRPr="002203FA" w:rsidRDefault="002203FA" w:rsidP="002203FA">
      <w:pPr>
        <w:spacing w:after="160" w:line="360" w:lineRule="auto"/>
        <w:jc w:val="both"/>
        <w:rPr>
          <w:rFonts w:ascii="Calibri" w:eastAsia="Calibri" w:hAnsi="Calibri" w:cs="Arial"/>
          <w:noProof w:val="0"/>
          <w:rtl/>
        </w:rPr>
      </w:pPr>
      <w:r w:rsidRPr="002203FA">
        <w:rPr>
          <w:rFonts w:ascii="Calibri" w:eastAsia="Calibri" w:hAnsi="Calibri" w:cs="Arial"/>
          <w:noProof w:val="0"/>
          <w:rtl/>
        </w:rPr>
        <w:t xml:space="preserve">למשיב </w:t>
      </w:r>
      <w:r w:rsidRPr="002203FA">
        <w:rPr>
          <w:rFonts w:ascii="Calibri" w:eastAsia="Calibri" w:hAnsi="Calibri" w:cs="Arial"/>
          <w:b/>
          <w:bCs/>
          <w:noProof w:val="0"/>
          <w:rtl/>
        </w:rPr>
        <w:t>רישום פלילי</w:t>
      </w:r>
      <w:r w:rsidRPr="002203FA">
        <w:rPr>
          <w:rFonts w:ascii="Calibri" w:eastAsia="Calibri" w:hAnsi="Calibri" w:cs="Arial"/>
          <w:noProof w:val="0"/>
          <w:rtl/>
        </w:rPr>
        <w:t xml:space="preserve"> קודם הכולל שתי הרשעות בעבירות של אי הגשת דו"ח במועד (כתב האישום הראשון הוגש בשנת 2014 בגין עבירות מהשנים 2013-2011 והשני הוגש בשנת 2016 בגין עבירות משנת 2014), בגינן נדון לעונשי מאסר מותנים.</w:t>
      </w:r>
    </w:p>
    <w:p w:rsidR="002203FA" w:rsidRPr="002203FA" w:rsidRDefault="002203FA" w:rsidP="002203FA">
      <w:pPr>
        <w:spacing w:after="160" w:line="360" w:lineRule="auto"/>
        <w:jc w:val="both"/>
        <w:rPr>
          <w:rFonts w:ascii="Calibri" w:eastAsia="Calibri" w:hAnsi="Calibri" w:cs="Arial"/>
          <w:noProof w:val="0"/>
          <w:rtl/>
        </w:rPr>
      </w:pPr>
      <w:r w:rsidRPr="002203FA">
        <w:rPr>
          <w:rFonts w:ascii="Calibri" w:eastAsia="Calibri" w:hAnsi="Calibri" w:cs="Arial"/>
          <w:noProof w:val="0"/>
          <w:rtl/>
        </w:rPr>
        <w:t>ב</w:t>
      </w:r>
      <w:r w:rsidRPr="002203FA">
        <w:rPr>
          <w:rFonts w:ascii="Calibri" w:eastAsia="Calibri" w:hAnsi="Calibri" w:cs="Arial"/>
          <w:b/>
          <w:bCs/>
          <w:noProof w:val="0"/>
          <w:rtl/>
        </w:rPr>
        <w:t xml:space="preserve">גזר הדין </w:t>
      </w:r>
      <w:r w:rsidRPr="002203FA">
        <w:rPr>
          <w:rFonts w:ascii="Calibri" w:eastAsia="Calibri" w:hAnsi="Calibri" w:cs="Arial"/>
          <w:noProof w:val="0"/>
          <w:rtl/>
        </w:rPr>
        <w:t>פרט ביהמ"ש את ההליכים שהתקיימו בתיק; את תסקיר שירות המבחן ואת חוות הדעת מטעם הממונה על עבודות השירות; את טיעוני הצדדים ואת הרשעותיו הקודמות של המשיב. כמו כן, בחן ביהמ"ש את הערכים החברתיים המוגנים שנפגעו כתוצאה מביצוע העבירה (</w:t>
      </w:r>
      <w:r w:rsidRPr="002203FA">
        <w:rPr>
          <w:rFonts w:ascii="Miriam" w:eastAsia="Calibri" w:hAnsi="Miriam" w:cs="Miriam"/>
          <w:b/>
          <w:bCs/>
          <w:noProof w:val="0"/>
          <w:rtl/>
        </w:rPr>
        <w:t>"הגנה על שלומו ובטחונו של הציבור וזכותה של מדינת ישראל לשמור על ריבונותה בקביעת זהות השוהים בשטחה"</w:t>
      </w:r>
      <w:r w:rsidRPr="002203FA">
        <w:rPr>
          <w:rFonts w:ascii="Calibri" w:eastAsia="Calibri" w:hAnsi="Calibri" w:cs="Arial"/>
          <w:noProof w:val="0"/>
          <w:rtl/>
        </w:rPr>
        <w:t>); מצא, כי מידת הפגיעה בערכים המוגנים אינה גבוהה (</w:t>
      </w:r>
      <w:r w:rsidRPr="002203FA">
        <w:rPr>
          <w:rFonts w:ascii="Miriam" w:eastAsia="Calibri" w:hAnsi="Miriam" w:cs="Miriam"/>
          <w:b/>
          <w:bCs/>
          <w:noProof w:val="0"/>
          <w:rtl/>
        </w:rPr>
        <w:t>"בשים לב לכך שבפועל לא נגרמה פגיעה קונקרטית כלשהי לביטחון הציבור"</w:t>
      </w:r>
      <w:r w:rsidRPr="002203FA">
        <w:rPr>
          <w:rFonts w:ascii="Calibri" w:eastAsia="Calibri" w:hAnsi="Calibri" w:cs="Arial"/>
          <w:noProof w:val="0"/>
          <w:rtl/>
        </w:rPr>
        <w:t xml:space="preserve">); ציין, כי </w:t>
      </w:r>
      <w:r w:rsidRPr="002203FA">
        <w:rPr>
          <w:rFonts w:ascii="Miriam" w:eastAsia="Calibri" w:hAnsi="Miriam" w:cs="Miriam"/>
          <w:noProof w:val="0"/>
          <w:rtl/>
        </w:rPr>
        <w:t>"</w:t>
      </w:r>
      <w:r w:rsidRPr="002203FA">
        <w:rPr>
          <w:rFonts w:ascii="Miriam" w:eastAsia="Calibri" w:hAnsi="Miriam" w:cs="Miriam"/>
          <w:b/>
          <w:bCs/>
          <w:noProof w:val="0"/>
          <w:rtl/>
        </w:rPr>
        <w:t>לטעמי מקרה זה אינו נופל בגדר מקרה הלנת שב"ח "קלאסי" שכן לפי נסיבות כתב האישום, הלין הנאשם במשך 14 שנים את אשתו ועל כן הפסיקה הענפה לגבי עבירות שב"ח אינה רלוונטית בעניינו"</w:t>
      </w:r>
      <w:r w:rsidRPr="002203FA">
        <w:rPr>
          <w:rFonts w:ascii="Calibri" w:eastAsia="Calibri" w:hAnsi="Calibri" w:cs="Arial"/>
          <w:noProof w:val="0"/>
          <w:rtl/>
        </w:rPr>
        <w:t xml:space="preserve">; הוסיף, כי </w:t>
      </w:r>
      <w:r w:rsidRPr="002203FA">
        <w:rPr>
          <w:rFonts w:ascii="Miriam" w:eastAsia="Calibri" w:hAnsi="Miriam" w:cs="Miriam"/>
          <w:b/>
          <w:bCs/>
          <w:noProof w:val="0"/>
          <w:rtl/>
        </w:rPr>
        <w:t>"המסר היוצא ממעשיו של הנאשם, כי אדם הנישא לתושב הרשות, ייקח החוק לידו ולמרות שטרם הוסדר מעמדה החוקי של בת הזוג בישראל יאפשר בעל האזרחות הישראלית שהייה לא חוקית של בן משפחתו. מצב זה אינו סביר ועל בית המשפט מוטלת החובה לגנות התנהלות זו"</w:t>
      </w:r>
      <w:r w:rsidRPr="002203FA">
        <w:rPr>
          <w:rFonts w:ascii="Calibri" w:eastAsia="Calibri" w:hAnsi="Calibri" w:cs="Arial"/>
          <w:noProof w:val="0"/>
          <w:rtl/>
        </w:rPr>
        <w:t xml:space="preserve">, אך יחד עם זאת גם ציין, כי </w:t>
      </w:r>
      <w:r w:rsidRPr="002203FA">
        <w:rPr>
          <w:rFonts w:ascii="Miriam" w:eastAsia="Calibri" w:hAnsi="Miriam" w:cs="Miriam"/>
          <w:b/>
          <w:bCs/>
          <w:noProof w:val="0"/>
          <w:rtl/>
        </w:rPr>
        <w:t>"לא ניתן להתעלם מהעובדה שהנאשם פעל לאורך השנים להסדרת מעמדה של אשתו, הגם שבמקביל לא מנע את שהייתה בישראל טרם קבלת אישור הרשות המוסמכת. באותה נשימה, עולה מהמסמכים שהוצגו בפני כי הרשויות השלטוניות בישראל דיברו בשתי קולות ביחס למעמדה של אשת הנאשם ובכך גרמו למורכבות נוספת על העובדה כי מדובר באשתו של הנאשם ואם ילדיו החיים בישראל"</w:t>
      </w:r>
      <w:r w:rsidRPr="002203FA">
        <w:rPr>
          <w:rFonts w:ascii="Calibri" w:eastAsia="Calibri" w:hAnsi="Calibri" w:cs="Arial"/>
          <w:noProof w:val="0"/>
          <w:rtl/>
        </w:rPr>
        <w:t xml:space="preserve">; וקבע, כי </w:t>
      </w:r>
      <w:r w:rsidRPr="002203FA">
        <w:rPr>
          <w:rFonts w:ascii="Miriam" w:eastAsia="Calibri" w:hAnsi="Miriam" w:cs="Miriam"/>
          <w:b/>
          <w:bCs/>
          <w:noProof w:val="0"/>
          <w:rtl/>
        </w:rPr>
        <w:t>"לא מצאתי פסיקה התואמת לנסיבות העניין שבפניי"</w:t>
      </w:r>
      <w:r w:rsidRPr="002203FA">
        <w:rPr>
          <w:rFonts w:ascii="Calibri" w:eastAsia="Calibri" w:hAnsi="Calibri" w:cs="Arial"/>
          <w:noProof w:val="0"/>
          <w:rtl/>
        </w:rPr>
        <w:t xml:space="preserve">, אולם, </w:t>
      </w:r>
      <w:r w:rsidRPr="002203FA">
        <w:rPr>
          <w:rFonts w:ascii="Calibri" w:eastAsia="Calibri" w:hAnsi="Calibri" w:cs="Arial"/>
          <w:noProof w:val="0"/>
          <w:rtl/>
        </w:rPr>
        <w:lastRenderedPageBreak/>
        <w:t xml:space="preserve">בחינת מדיניות הענישה הנוהגת בנוגע לעבירות הלנה לפי חוק הכניסה לישראל מעלה, כי </w:t>
      </w:r>
      <w:r w:rsidRPr="00676EBD">
        <w:rPr>
          <w:rFonts w:ascii="Miriam" w:eastAsia="Calibri" w:hAnsi="Miriam" w:cs="Miriam"/>
          <w:b/>
          <w:bCs/>
          <w:noProof w:val="0"/>
          <w:rtl/>
        </w:rPr>
        <w:t>"מנעד הענישה נע החל ממאסר על תנאי וכלה במאסר בפועל לתקופות קצרות, תוך התחשבות בנסיבותיו של כל מקרה ומקרה</w:t>
      </w:r>
      <w:r w:rsidRPr="002203FA">
        <w:rPr>
          <w:rFonts w:ascii="Miriam" w:eastAsia="Calibri" w:hAnsi="Miriam" w:cs="Miriam"/>
          <w:b/>
          <w:bCs/>
          <w:noProof w:val="0"/>
          <w:rtl/>
        </w:rPr>
        <w:t>"</w:t>
      </w:r>
      <w:r w:rsidRPr="002203FA">
        <w:rPr>
          <w:rFonts w:ascii="Calibri" w:eastAsia="Calibri" w:hAnsi="Calibri" w:cs="Arial"/>
          <w:noProof w:val="0"/>
          <w:rtl/>
        </w:rPr>
        <w:t>.</w:t>
      </w:r>
    </w:p>
    <w:p w:rsidR="00676EBD" w:rsidRDefault="002203FA" w:rsidP="00676EBD">
      <w:pPr>
        <w:spacing w:after="160" w:line="360" w:lineRule="auto"/>
        <w:jc w:val="both"/>
        <w:rPr>
          <w:rFonts w:ascii="Calibri" w:eastAsia="Calibri" w:hAnsi="Calibri" w:cs="Arial"/>
          <w:noProof w:val="0"/>
          <w:rtl/>
        </w:rPr>
      </w:pPr>
      <w:r w:rsidRPr="002203FA">
        <w:rPr>
          <w:rFonts w:ascii="Calibri" w:eastAsia="Calibri" w:hAnsi="Calibri" w:cs="Arial"/>
          <w:noProof w:val="0"/>
          <w:rtl/>
        </w:rPr>
        <w:t xml:space="preserve">לאחר זאת, בחן ביהמ"ש את סוגיית אי הרשעתו של המשיב וקבע, לאחר בחינת ההלכה בהתאם לפס"ד </w:t>
      </w:r>
      <w:r w:rsidRPr="002203FA">
        <w:rPr>
          <w:rFonts w:ascii="Calibri" w:eastAsia="Calibri" w:hAnsi="Calibri" w:cs="Arial"/>
          <w:b/>
          <w:bCs/>
          <w:noProof w:val="0"/>
          <w:rtl/>
        </w:rPr>
        <w:t>כתב</w:t>
      </w:r>
      <w:r w:rsidRPr="002203FA">
        <w:rPr>
          <w:rFonts w:ascii="Calibri" w:eastAsia="Calibri" w:hAnsi="Calibri" w:cs="Arial"/>
          <w:noProof w:val="0"/>
          <w:rtl/>
        </w:rPr>
        <w:t xml:space="preserve"> והפסיקה המאוחרת יותר, כי </w:t>
      </w:r>
      <w:r w:rsidRPr="002203FA">
        <w:rPr>
          <w:rFonts w:ascii="Miriam" w:eastAsia="Calibri" w:hAnsi="Miriam" w:cs="Miriam"/>
          <w:b/>
          <w:bCs/>
          <w:noProof w:val="0"/>
          <w:rtl/>
        </w:rPr>
        <w:t>"מדובר בעבירה שבנסיבותיה ניתן לשקול ביטול הרשעה מבלי לפגוע בשיקולי הענישה הכלליים, אמנם מדובר בעבירה של הלנת שב"ח, אשר חומרתה אינה מוטלת בספק ועלולה בנסיבות מסוימות לפגוע בביטחון המדינה, אך מנגד יש לבחון המקרה לגופו - בשים לב לנסיבות ביצוע העבירה, השוהה הבלתי חוקי הנדון הינה אשת הנאשם,  השוהה בישראל מזה שנים, ילדיה נולדו בישראל והינם בעלי מעמד חוקי בישראל. מעמדה החוקי של האישה לא הוסדר, יש להדגיש כי לאורך השנים פעל הנאשם רבות לצורך הסדרת מעמדה החוקי אולם עניין זה לא צלח. לפיכך, מצאתי כי ניתן לבחון ביטול ההרשעה מבלי לפגוע באופן מהותי בשיקולי הענישה"</w:t>
      </w:r>
      <w:r w:rsidR="00676EBD">
        <w:rPr>
          <w:rFonts w:ascii="Calibri" w:eastAsia="Calibri" w:hAnsi="Calibri" w:cs="Arial" w:hint="cs"/>
          <w:noProof w:val="0"/>
          <w:rtl/>
        </w:rPr>
        <w:t xml:space="preserve">. </w:t>
      </w:r>
    </w:p>
    <w:p w:rsidR="00676EBD" w:rsidRDefault="00676EBD" w:rsidP="00676EBD">
      <w:pPr>
        <w:spacing w:after="160" w:line="360" w:lineRule="auto"/>
        <w:jc w:val="both"/>
        <w:rPr>
          <w:rFonts w:ascii="Miriam" w:eastAsia="Calibri" w:hAnsi="Miriam" w:cs="Miriam"/>
          <w:b/>
          <w:bCs/>
          <w:noProof w:val="0"/>
          <w:rtl/>
        </w:rPr>
      </w:pPr>
      <w:r>
        <w:rPr>
          <w:rFonts w:ascii="Calibri" w:eastAsia="Calibri" w:hAnsi="Calibri" w:cs="Arial" w:hint="cs"/>
          <w:noProof w:val="0"/>
          <w:rtl/>
        </w:rPr>
        <w:t>ביהמ"ש גם בחן</w:t>
      </w:r>
      <w:r>
        <w:rPr>
          <w:rFonts w:ascii="Calibri" w:eastAsia="Calibri" w:hAnsi="Calibri" w:cs="Arial"/>
          <w:noProof w:val="0"/>
          <w:rtl/>
        </w:rPr>
        <w:t xml:space="preserve"> פסקי דין שעניינ</w:t>
      </w:r>
      <w:r>
        <w:rPr>
          <w:rFonts w:ascii="Calibri" w:eastAsia="Calibri" w:hAnsi="Calibri" w:cs="Arial" w:hint="cs"/>
          <w:noProof w:val="0"/>
          <w:rtl/>
        </w:rPr>
        <w:t>ם</w:t>
      </w:r>
      <w:r w:rsidR="002203FA" w:rsidRPr="002203FA">
        <w:rPr>
          <w:rFonts w:ascii="Calibri" w:eastAsia="Calibri" w:hAnsi="Calibri" w:cs="Arial"/>
          <w:noProof w:val="0"/>
          <w:rtl/>
        </w:rPr>
        <w:t xml:space="preserve"> עבירות לפי חוק הכניסה לישראל, בה</w:t>
      </w:r>
      <w:r>
        <w:rPr>
          <w:rFonts w:ascii="Calibri" w:eastAsia="Calibri" w:hAnsi="Calibri" w:cs="Arial"/>
          <w:noProof w:val="0"/>
          <w:rtl/>
        </w:rPr>
        <w:t>ם הורו בתי המשפט על ביטול הרשעה</w:t>
      </w:r>
      <w:r>
        <w:rPr>
          <w:rFonts w:ascii="Calibri" w:eastAsia="Calibri" w:hAnsi="Calibri" w:cs="Arial" w:hint="cs"/>
          <w:noProof w:val="0"/>
          <w:rtl/>
        </w:rPr>
        <w:t>,</w:t>
      </w:r>
      <w:r w:rsidR="002203FA" w:rsidRPr="002203FA">
        <w:rPr>
          <w:rFonts w:ascii="Calibri" w:eastAsia="Calibri" w:hAnsi="Calibri" w:cs="Arial"/>
          <w:noProof w:val="0"/>
          <w:rtl/>
        </w:rPr>
        <w:t xml:space="preserve"> וחרף העובדה לפיה </w:t>
      </w:r>
      <w:r w:rsidR="002203FA" w:rsidRPr="002203FA">
        <w:rPr>
          <w:rFonts w:ascii="Miriam" w:eastAsia="Calibri" w:hAnsi="Miriam" w:cs="Miriam"/>
          <w:b/>
          <w:bCs/>
          <w:noProof w:val="0"/>
          <w:rtl/>
        </w:rPr>
        <w:t>"לא הצביע הנאשם על קיומו של נזק קונקרטי כלשהו"</w:t>
      </w:r>
      <w:r w:rsidR="002203FA" w:rsidRPr="002203FA">
        <w:rPr>
          <w:rFonts w:ascii="Calibri" w:eastAsia="Calibri" w:hAnsi="Calibri" w:cs="Arial"/>
          <w:noProof w:val="0"/>
          <w:rtl/>
        </w:rPr>
        <w:t xml:space="preserve">, סבר, כי </w:t>
      </w:r>
      <w:r w:rsidR="002203FA" w:rsidRPr="002203FA">
        <w:rPr>
          <w:rFonts w:ascii="Miriam" w:eastAsia="Calibri" w:hAnsi="Miriam" w:cs="Miriam"/>
          <w:b/>
          <w:bCs/>
          <w:noProof w:val="0"/>
          <w:rtl/>
        </w:rPr>
        <w:t>"עיון בפסיקה מעלה כי ישנם מקרים בהם בתי המשפט הקלו בדרישת הוכחת נזק קונקרטי והורו על ביטול ההרשעה, אף שלא הוכח נזק מוחשי כתוצאה מההרשעה וזאת בהתקיים נסיבות המטות הכף לטובת ביטול ההרשעה"</w:t>
      </w:r>
      <w:r w:rsidR="002203FA" w:rsidRPr="002203FA">
        <w:rPr>
          <w:rFonts w:ascii="Calibri" w:eastAsia="Calibri" w:hAnsi="Calibri" w:cs="Arial"/>
          <w:noProof w:val="0"/>
          <w:rtl/>
        </w:rPr>
        <w:t xml:space="preserve"> (הפנה לעפ"ג (מרכז) 44065-04-12 </w:t>
      </w:r>
      <w:r w:rsidR="002203FA" w:rsidRPr="002203FA">
        <w:rPr>
          <w:rFonts w:ascii="Calibri" w:eastAsia="Calibri" w:hAnsi="Calibri" w:cs="Arial"/>
          <w:b/>
          <w:bCs/>
          <w:noProof w:val="0"/>
          <w:rtl/>
        </w:rPr>
        <w:t>מדינת ישראל נ' דאנו</w:t>
      </w:r>
      <w:r w:rsidR="002203FA" w:rsidRPr="002203FA">
        <w:rPr>
          <w:rFonts w:ascii="Calibri" w:eastAsia="Calibri" w:hAnsi="Calibri" w:cs="Arial"/>
          <w:noProof w:val="0"/>
          <w:rtl/>
        </w:rPr>
        <w:t xml:space="preserve"> מיום 15.07.2012)</w:t>
      </w:r>
      <w:r>
        <w:rPr>
          <w:rFonts w:ascii="Calibri" w:eastAsia="Calibri" w:hAnsi="Calibri" w:cs="Arial" w:hint="cs"/>
          <w:noProof w:val="0"/>
          <w:rtl/>
        </w:rPr>
        <w:t>. וכך קבע ביהמ"ש:</w:t>
      </w:r>
    </w:p>
    <w:p w:rsidR="00676EBD" w:rsidRDefault="002203FA" w:rsidP="00676EBD">
      <w:pPr>
        <w:spacing w:after="160"/>
        <w:ind w:left="720" w:right="426"/>
        <w:jc w:val="both"/>
        <w:rPr>
          <w:rFonts w:ascii="Miriam" w:eastAsia="Calibri" w:hAnsi="Miriam" w:cs="Miriam"/>
          <w:b/>
          <w:bCs/>
          <w:noProof w:val="0"/>
          <w:rtl/>
        </w:rPr>
      </w:pPr>
      <w:r w:rsidRPr="002203FA">
        <w:rPr>
          <w:rFonts w:ascii="Miriam" w:eastAsia="Calibri" w:hAnsi="Miriam" w:cs="Miriam"/>
          <w:b/>
          <w:bCs/>
          <w:noProof w:val="0"/>
          <w:rtl/>
        </w:rPr>
        <w:t>"לאור האמור לעיל, מצאתי כי עניינו של הנאשם מצדיק ביטול ההרשעה. על אף שאין להקל ראש בעבירה בה הורשע הנאשם, קיימים מכלול שיקולים שמצדיקים התייחסות מתונה כלפיו; עצם העמדתו לדין היוותה עבור הנאשם גורם מרתיע, מדובר בנאשם בעל עבר פלילי בעבירות כלכליות, שאינן מתחום העניין שבפני, הנאשם מנהל אורח חיים נורמטיבי ויצרני. הנאשם נטל אחריות מלאה על מעשיו</w:t>
      </w:r>
      <w:r w:rsidR="00676EBD">
        <w:rPr>
          <w:rFonts w:ascii="Miriam" w:eastAsia="Calibri" w:hAnsi="Miriam" w:cs="Miriam" w:hint="cs"/>
          <w:b/>
          <w:bCs/>
          <w:noProof w:val="0"/>
          <w:rtl/>
        </w:rPr>
        <w:t>.</w:t>
      </w:r>
      <w:r w:rsidRPr="002203FA">
        <w:rPr>
          <w:rFonts w:ascii="Miriam" w:eastAsia="Calibri" w:hAnsi="Miriam" w:cs="Miriam"/>
          <w:b/>
          <w:bCs/>
          <w:noProof w:val="0"/>
          <w:rtl/>
        </w:rPr>
        <w:t xml:space="preserve"> בנסיבות אלה, אני סבור שיש להורות על ביטול ההרשעה</w:t>
      </w:r>
      <w:r w:rsidR="00676EBD">
        <w:rPr>
          <w:rFonts w:ascii="Calibri" w:eastAsia="Calibri" w:hAnsi="Calibri" w:cs="Arial" w:hint="cs"/>
          <w:noProof w:val="0"/>
          <w:rtl/>
        </w:rPr>
        <w:t>...</w:t>
      </w:r>
    </w:p>
    <w:p w:rsidR="002203FA" w:rsidRPr="002203FA" w:rsidRDefault="002203FA" w:rsidP="00676EBD">
      <w:pPr>
        <w:spacing w:after="160"/>
        <w:ind w:left="720" w:right="426"/>
        <w:jc w:val="both"/>
        <w:rPr>
          <w:rFonts w:ascii="Miriam" w:eastAsia="Calibri" w:hAnsi="Miriam" w:cs="Miriam"/>
          <w:b/>
          <w:bCs/>
          <w:noProof w:val="0"/>
          <w:rtl/>
        </w:rPr>
      </w:pPr>
      <w:r w:rsidRPr="002203FA">
        <w:rPr>
          <w:rFonts w:ascii="Miriam" w:eastAsia="Calibri" w:hAnsi="Miriam" w:cs="Miriam"/>
          <w:b/>
          <w:bCs/>
          <w:noProof w:val="0"/>
          <w:rtl/>
        </w:rPr>
        <w:t xml:space="preserve">התרשמתי כי הנאשם מצוי בסיטואציה מורכבת וסבוכה, שספק אם תגיע לפתרונה, עוד התרשמתי כי במדובר בצבר נסיבות בלתי אפשריות מבחינתו של הנאשם וכי העיסוק בפלילים אינו משקף אופיו ואורחות חייו של הנאשם. אני סבור כי הטלת מאסר על תנאי או התחייבות בנסיבות הנאשם מעמידה את הנאשם בפני כתב אישום חדש וצורך להפעלת ענישה זו הצופה פני עתיד. </w:t>
      </w:r>
    </w:p>
    <w:p w:rsidR="002203FA" w:rsidRPr="002203FA" w:rsidRDefault="002203FA" w:rsidP="002203FA">
      <w:pPr>
        <w:spacing w:after="160"/>
        <w:ind w:left="720" w:right="426"/>
        <w:jc w:val="both"/>
        <w:rPr>
          <w:rFonts w:ascii="Calibri" w:eastAsia="Calibri" w:hAnsi="Calibri" w:cs="Arial"/>
          <w:noProof w:val="0"/>
        </w:rPr>
      </w:pPr>
      <w:r w:rsidRPr="002203FA">
        <w:rPr>
          <w:rFonts w:ascii="Miriam" w:eastAsia="Calibri" w:hAnsi="Miriam" w:cs="Miriam"/>
          <w:b/>
          <w:bCs/>
          <w:noProof w:val="0"/>
          <w:rtl/>
        </w:rPr>
        <w:t>בשקלול הנתונים, נוכח מחיקת ערר שהוגש על ידי הנאשם בעניין הסדרת מעמדה של אשתו ומתוך תקווה כי עניין זה יבוא על פתרונו, מצאתי לקבל המלצת שירות המבחן ולהורות על הטלת צו של"צ בהיקף 120 שעות"</w:t>
      </w:r>
      <w:r w:rsidRPr="002203FA">
        <w:rPr>
          <w:rFonts w:ascii="Calibri" w:eastAsia="Calibri" w:hAnsi="Calibri" w:cs="Arial"/>
          <w:noProof w:val="0"/>
          <w:rtl/>
        </w:rPr>
        <w:t>.</w:t>
      </w:r>
    </w:p>
    <w:p w:rsidR="002203FA" w:rsidRDefault="002203FA" w:rsidP="002203FA">
      <w:pPr>
        <w:spacing w:after="160" w:line="360" w:lineRule="auto"/>
        <w:jc w:val="both"/>
        <w:rPr>
          <w:rFonts w:ascii="Calibri" w:eastAsia="Calibri" w:hAnsi="Calibri" w:cs="Arial"/>
          <w:noProof w:val="0"/>
          <w:rtl/>
        </w:rPr>
      </w:pPr>
    </w:p>
    <w:p w:rsidR="00676EBD" w:rsidRPr="002203FA" w:rsidRDefault="00676EBD" w:rsidP="002203FA">
      <w:pPr>
        <w:spacing w:after="160" w:line="360" w:lineRule="auto"/>
        <w:jc w:val="both"/>
        <w:rPr>
          <w:rFonts w:ascii="Calibri" w:eastAsia="Calibri" w:hAnsi="Calibri" w:cs="Arial"/>
          <w:noProof w:val="0"/>
          <w:rtl/>
        </w:rPr>
      </w:pPr>
    </w:p>
    <w:p w:rsidR="00676EBD" w:rsidRDefault="00676EBD" w:rsidP="002203FA">
      <w:pPr>
        <w:spacing w:after="160" w:line="360" w:lineRule="auto"/>
        <w:jc w:val="both"/>
        <w:rPr>
          <w:rFonts w:ascii="Calibri" w:eastAsia="Calibri" w:hAnsi="Calibri" w:cs="Arial"/>
          <w:b/>
          <w:bCs/>
          <w:noProof w:val="0"/>
          <w:u w:val="single"/>
          <w:rtl/>
        </w:rPr>
      </w:pPr>
    </w:p>
    <w:p w:rsidR="002203FA" w:rsidRPr="002203FA" w:rsidRDefault="002203FA" w:rsidP="002203FA">
      <w:pPr>
        <w:spacing w:after="160" w:line="360" w:lineRule="auto"/>
        <w:jc w:val="both"/>
        <w:rPr>
          <w:rFonts w:ascii="Calibri" w:eastAsia="Calibri" w:hAnsi="Calibri" w:cs="Arial"/>
          <w:b/>
          <w:bCs/>
          <w:noProof w:val="0"/>
          <w:u w:val="single"/>
          <w:rtl/>
        </w:rPr>
      </w:pPr>
      <w:r w:rsidRPr="002203FA">
        <w:rPr>
          <w:rFonts w:ascii="Calibri" w:eastAsia="Calibri" w:hAnsi="Calibri" w:cs="Arial"/>
          <w:b/>
          <w:bCs/>
          <w:noProof w:val="0"/>
          <w:u w:val="single"/>
          <w:rtl/>
        </w:rPr>
        <w:t>הטענות בערעור</w:t>
      </w:r>
    </w:p>
    <w:p w:rsidR="002203FA" w:rsidRPr="002203FA" w:rsidRDefault="002203FA" w:rsidP="002203FA">
      <w:pPr>
        <w:spacing w:after="160" w:line="360" w:lineRule="auto"/>
        <w:jc w:val="both"/>
        <w:rPr>
          <w:rFonts w:ascii="Calibri" w:eastAsia="Calibri" w:hAnsi="Calibri" w:cs="Arial"/>
          <w:noProof w:val="0"/>
          <w:rtl/>
        </w:rPr>
      </w:pPr>
      <w:r w:rsidRPr="002203FA">
        <w:rPr>
          <w:rFonts w:ascii="Calibri" w:eastAsia="Calibri" w:hAnsi="Calibri" w:cs="Arial"/>
          <w:noProof w:val="0"/>
          <w:rtl/>
        </w:rPr>
        <w:t xml:space="preserve">לטענת </w:t>
      </w:r>
      <w:r w:rsidRPr="002203FA">
        <w:rPr>
          <w:rFonts w:ascii="Calibri" w:eastAsia="Calibri" w:hAnsi="Calibri" w:cs="Arial"/>
          <w:b/>
          <w:bCs/>
          <w:noProof w:val="0"/>
          <w:rtl/>
        </w:rPr>
        <w:t>המערערת</w:t>
      </w:r>
      <w:r w:rsidRPr="002203FA">
        <w:rPr>
          <w:rFonts w:ascii="Calibri" w:eastAsia="Calibri" w:hAnsi="Calibri" w:cs="Arial"/>
          <w:noProof w:val="0"/>
          <w:rtl/>
        </w:rPr>
        <w:t xml:space="preserve">, ביהמ"ש קמא שגה כאשר נמנע מקביעת מתחם עונש; שגה בניתוח מהות נסיבות ביצוע העבירה; לא נתן משקל ראוי לפוטנציאל הנזק; אמד את מידת הפגיעה בערכים המוגנים בחסר; ולא יישם את הפסיקה המחמירה בעונשם של מליני שב"ח ומעסיקיהם. כמו כן, טעה עת הסתפק בשל"צ וצו מבחן </w:t>
      </w:r>
      <w:r w:rsidRPr="002203FA">
        <w:rPr>
          <w:rFonts w:ascii="Miriam" w:eastAsia="Calibri" w:hAnsi="Miriam" w:cs="Miriam"/>
          <w:b/>
          <w:bCs/>
          <w:noProof w:val="0"/>
          <w:rtl/>
        </w:rPr>
        <w:t>"בשל החשש למיצוי עתידי של ענישה זו"</w:t>
      </w:r>
      <w:r w:rsidRPr="002203FA">
        <w:rPr>
          <w:rFonts w:ascii="Calibri" w:eastAsia="Calibri" w:hAnsi="Calibri" w:cs="Arial"/>
          <w:noProof w:val="0"/>
          <w:rtl/>
        </w:rPr>
        <w:t xml:space="preserve">, כאשר בכך העביר מסר של </w:t>
      </w:r>
      <w:r w:rsidRPr="002203FA">
        <w:rPr>
          <w:rFonts w:ascii="Miriam" w:eastAsia="Calibri" w:hAnsi="Miriam" w:cs="Miriam"/>
          <w:b/>
          <w:bCs/>
          <w:noProof w:val="0"/>
          <w:rtl/>
        </w:rPr>
        <w:t>"חסינות שיפוטית"</w:t>
      </w:r>
      <w:r w:rsidRPr="002203FA">
        <w:rPr>
          <w:rFonts w:ascii="Calibri" w:eastAsia="Calibri" w:hAnsi="Calibri" w:cs="Arial"/>
          <w:noProof w:val="0"/>
          <w:rtl/>
        </w:rPr>
        <w:t xml:space="preserve"> למשיב ולנאשמים שכמותו שעוברים עבירות של הלנה והעסקה של קרובי משפחה, אשר יוכלו להמשיך לבצע עבירות אלה מתוך ידיעה שלא יענשו; וכן טעה עת לא הרשיע את המשיב למרות שלא מתקיימים בעניינו התנאים המצטברים שנקבעו בהלכת כתב.</w:t>
      </w:r>
    </w:p>
    <w:p w:rsidR="00194C97" w:rsidRDefault="002203FA" w:rsidP="00194C97">
      <w:pPr>
        <w:spacing w:after="160" w:line="360" w:lineRule="auto"/>
        <w:jc w:val="both"/>
        <w:rPr>
          <w:rFonts w:ascii="Calibri" w:eastAsia="Calibri" w:hAnsi="Calibri" w:cs="Arial"/>
          <w:noProof w:val="0"/>
          <w:rtl/>
        </w:rPr>
      </w:pPr>
      <w:r w:rsidRPr="002203FA">
        <w:rPr>
          <w:rFonts w:ascii="Calibri" w:eastAsia="Calibri" w:hAnsi="Calibri" w:cs="Arial"/>
          <w:noProof w:val="0"/>
          <w:rtl/>
        </w:rPr>
        <w:t xml:space="preserve">ב"כ המערערת סברה, כי ביהמ"ש צדק כאשר ראה חומרה במעשי המשיב (סעיף 8 לגזר הדין), וזאת לאחר שהלין ביודעין, ובמשך 14 שנה, תושבת שטחים מבלי שהיה ברשותה אישור לשהייה כדין בישראל. אולם גם סברה, כי ביהמ"ש טעה, כאשר ייחס למדינה "תרומה" למצבו המורכב של המשיב, בכך שלא נעתרה לבקשותיו להסדיר את מעמד האישה בארץ. בהודעת הערעור צוין בעניין זה, כי </w:t>
      </w:r>
      <w:r w:rsidRPr="002203FA">
        <w:rPr>
          <w:rFonts w:ascii="Miriam" w:eastAsia="Calibri" w:hAnsi="Miriam" w:cs="Miriam"/>
          <w:b/>
          <w:bCs/>
          <w:noProof w:val="0"/>
          <w:rtl/>
        </w:rPr>
        <w:t>"משאין מחלוקת, כי המשיב המשיך להלין את אשתו ביודעו שאין לה אישור שהייה כדין לאחר שבקשתו נדחתה שוב ושוב, וכך גם בחר למחוק את עתירתו לאיחוד משפחות, יש לראות בנסיבה זו, לצד משך ההלנה במשך 14 שנים, נסיבה לחומרה יתרה. יתרה מזאת... ניתוח משפטי... הרואה בדחיית ערכאות משפטיות ואחרות מתן אישור לשהייה בישראל נסיבה לקולא, עלול לרוקן מתוכן את הליכי ההסדרה הרגולטוריים המשפטיים, המורכבים והמאתגרים ממילא, הפעם במעין הקניית "חסינות שיפוטית"..."</w:t>
      </w:r>
      <w:r w:rsidRPr="002203FA">
        <w:rPr>
          <w:rFonts w:ascii="Calibri" w:eastAsia="Calibri" w:hAnsi="Calibri" w:cs="Arial"/>
          <w:noProof w:val="0"/>
          <w:rtl/>
        </w:rPr>
        <w:t xml:space="preserve">. קביעת ביהמ"ש </w:t>
      </w:r>
      <w:r w:rsidRPr="002203FA">
        <w:rPr>
          <w:rFonts w:ascii="Miriam" w:eastAsia="Calibri" w:hAnsi="Miriam" w:cs="Miriam"/>
          <w:b/>
          <w:bCs/>
          <w:noProof w:val="0"/>
          <w:rtl/>
        </w:rPr>
        <w:t>"עלולה להתפרש על ידי המשיב ונאשמים שכמותו כמטילה אחריות על הערכאות האחרות ביישמן את הליכי הרגולציה בדחיית מעמדה של האישה תושבת השטחים ליצירת "מורכבות נוספת"..."</w:t>
      </w:r>
      <w:r w:rsidRPr="002203FA">
        <w:rPr>
          <w:rFonts w:ascii="Calibri" w:eastAsia="Calibri" w:hAnsi="Calibri" w:cs="Arial"/>
          <w:noProof w:val="0"/>
          <w:rtl/>
        </w:rPr>
        <w:t xml:space="preserve"> (סעיף 4 להודעת הערעור). במהלך הדיון הוסיפה ב"כ המערערת, כי </w:t>
      </w:r>
      <w:r w:rsidRPr="002203FA">
        <w:rPr>
          <w:rFonts w:ascii="Miriam" w:eastAsia="Calibri" w:hAnsi="Miriam" w:cs="Miriam"/>
          <w:b/>
          <w:bCs/>
          <w:noProof w:val="0"/>
          <w:rtl/>
        </w:rPr>
        <w:t>"במסגרת העבודה על התיק הסתייענו במחלקה האזרחית בפרקליטות</w:t>
      </w:r>
      <w:r w:rsidR="00194C97">
        <w:rPr>
          <w:rFonts w:ascii="Miriam" w:eastAsia="Calibri" w:hAnsi="Miriam" w:cs="Miriam" w:hint="cs"/>
          <w:b/>
          <w:bCs/>
          <w:noProof w:val="0"/>
          <w:rtl/>
        </w:rPr>
        <w:t>,</w:t>
      </w:r>
      <w:r w:rsidRPr="002203FA">
        <w:rPr>
          <w:rFonts w:ascii="Miriam" w:eastAsia="Calibri" w:hAnsi="Miriam" w:cs="Miriam"/>
          <w:b/>
          <w:bCs/>
          <w:noProof w:val="0"/>
          <w:rtl/>
        </w:rPr>
        <w:t xml:space="preserve"> שדרכה פנינו לרשות ההגירה שגם רואה את הדברים כמונו</w:t>
      </w:r>
      <w:r w:rsidR="00194C97">
        <w:rPr>
          <w:rFonts w:ascii="Miriam" w:eastAsia="Calibri" w:hAnsi="Miriam" w:cs="Miriam" w:hint="cs"/>
          <w:b/>
          <w:bCs/>
          <w:noProof w:val="0"/>
          <w:rtl/>
        </w:rPr>
        <w:t>,</w:t>
      </w:r>
      <w:r w:rsidRPr="002203FA">
        <w:rPr>
          <w:rFonts w:ascii="Miriam" w:eastAsia="Calibri" w:hAnsi="Miriam" w:cs="Miriam"/>
          <w:b/>
          <w:bCs/>
          <w:noProof w:val="0"/>
          <w:rtl/>
        </w:rPr>
        <w:t xml:space="preserve"> וגם בשמם אנו מדברים על סוגיית הביגמיה – ריבוי נישואין. הסיבה שבעטיה לא אושר האיחוד הזה או הבקשה, היא בדיוק החשש מעבירה של ריבוי נישואין</w:t>
      </w:r>
      <w:r w:rsidR="00194C97">
        <w:rPr>
          <w:rFonts w:ascii="Miriam" w:eastAsia="Calibri" w:hAnsi="Miriam" w:cs="Miriam" w:hint="cs"/>
          <w:b/>
          <w:bCs/>
          <w:noProof w:val="0"/>
          <w:rtl/>
        </w:rPr>
        <w:t>,</w:t>
      </w:r>
      <w:r w:rsidRPr="002203FA">
        <w:rPr>
          <w:rFonts w:ascii="Miriam" w:eastAsia="Calibri" w:hAnsi="Miriam" w:cs="Miriam"/>
          <w:b/>
          <w:bCs/>
          <w:noProof w:val="0"/>
          <w:rtl/>
        </w:rPr>
        <w:t xml:space="preserve"> ואני חושבת שאני לא צריכה להזכיר לבית משפט זה וגם לא להרכב הזה</w:t>
      </w:r>
      <w:r w:rsidR="00194C97">
        <w:rPr>
          <w:rFonts w:ascii="Miriam" w:eastAsia="Calibri" w:hAnsi="Miriam" w:cs="Miriam" w:hint="cs"/>
          <w:b/>
          <w:bCs/>
          <w:noProof w:val="0"/>
          <w:rtl/>
        </w:rPr>
        <w:t>,</w:t>
      </w:r>
      <w:r w:rsidRPr="002203FA">
        <w:rPr>
          <w:rFonts w:ascii="Miriam" w:eastAsia="Calibri" w:hAnsi="Miriam" w:cs="Miriam"/>
          <w:b/>
          <w:bCs/>
          <w:noProof w:val="0"/>
          <w:rtl/>
        </w:rPr>
        <w:t xml:space="preserve"> את כברת הדרך שהלכו רשויות האכיפה בשנת 2017 ובעטיה המשטרה ולאחר מכן התביעה הכללית ובסוף בית המשפט המחוזי בפסק דין אבו </w:t>
      </w:r>
      <w:r w:rsidR="00194C97">
        <w:rPr>
          <w:rFonts w:ascii="Miriam" w:eastAsia="Calibri" w:hAnsi="Miriam" w:cs="Miriam" w:hint="cs"/>
          <w:b/>
          <w:bCs/>
          <w:noProof w:val="0"/>
          <w:rtl/>
        </w:rPr>
        <w:t>ס</w:t>
      </w:r>
      <w:r w:rsidR="00194C97">
        <w:rPr>
          <w:rFonts w:ascii="Miriam" w:eastAsia="Calibri" w:hAnsi="Miriam" w:cs="Miriam"/>
          <w:b/>
          <w:bCs/>
          <w:noProof w:val="0"/>
          <w:rtl/>
        </w:rPr>
        <w:t>קיק</w:t>
      </w:r>
      <w:r w:rsidRPr="002203FA">
        <w:rPr>
          <w:rFonts w:ascii="Miriam" w:eastAsia="Calibri" w:hAnsi="Miriam" w:cs="Miriam"/>
          <w:b/>
          <w:bCs/>
          <w:noProof w:val="0"/>
          <w:rtl/>
        </w:rPr>
        <w:t xml:space="preserve"> שקיבע את המתחם ואת הענישה המאסרית ולאחר מכן זה אושר בבית המשפט העליון"</w:t>
      </w:r>
      <w:r w:rsidR="00194C97">
        <w:rPr>
          <w:rFonts w:ascii="Calibri" w:eastAsia="Calibri" w:hAnsi="Calibri" w:cs="Arial" w:hint="cs"/>
          <w:noProof w:val="0"/>
          <w:rtl/>
        </w:rPr>
        <w:t>.</w:t>
      </w:r>
    </w:p>
    <w:p w:rsidR="00194C97" w:rsidRDefault="002203FA" w:rsidP="00194C97">
      <w:pPr>
        <w:spacing w:after="160" w:line="360" w:lineRule="auto"/>
        <w:jc w:val="both"/>
        <w:rPr>
          <w:rFonts w:ascii="Calibri" w:eastAsia="Calibri" w:hAnsi="Calibri" w:cs="Arial"/>
          <w:noProof w:val="0"/>
          <w:rtl/>
        </w:rPr>
      </w:pPr>
      <w:r w:rsidRPr="002203FA">
        <w:rPr>
          <w:rFonts w:ascii="Calibri" w:eastAsia="Calibri" w:hAnsi="Calibri" w:cs="Arial"/>
          <w:noProof w:val="0"/>
          <w:rtl/>
        </w:rPr>
        <w:lastRenderedPageBreak/>
        <w:t>ב"כ המערערת הוסיפה ופרטה פסיקה שעניינה הלנה והעסק</w:t>
      </w:r>
      <w:r w:rsidR="00194C97">
        <w:rPr>
          <w:rFonts w:ascii="Calibri" w:eastAsia="Calibri" w:hAnsi="Calibri" w:cs="Arial" w:hint="cs"/>
          <w:noProof w:val="0"/>
          <w:rtl/>
        </w:rPr>
        <w:t>ת</w:t>
      </w:r>
      <w:r w:rsidRPr="002203FA">
        <w:rPr>
          <w:rFonts w:ascii="Calibri" w:eastAsia="Calibri" w:hAnsi="Calibri" w:cs="Arial"/>
          <w:noProof w:val="0"/>
          <w:rtl/>
        </w:rPr>
        <w:t xml:space="preserve"> של שב"ח, </w:t>
      </w:r>
      <w:r w:rsidR="00194C97">
        <w:rPr>
          <w:rFonts w:ascii="Calibri" w:eastAsia="Calibri" w:hAnsi="Calibri" w:cs="Arial" w:hint="cs"/>
          <w:noProof w:val="0"/>
          <w:rtl/>
        </w:rPr>
        <w:t xml:space="preserve">ובמיוחד </w:t>
      </w:r>
      <w:r w:rsidRPr="002203FA">
        <w:rPr>
          <w:rFonts w:ascii="Calibri" w:eastAsia="Calibri" w:hAnsi="Calibri" w:cs="Arial"/>
          <w:noProof w:val="0"/>
          <w:rtl/>
        </w:rPr>
        <w:t>הפנתה לפס"ד שניתן בבימ"ש השלום בבאר-שבע בעניינו של מי שהלין את אשתו במשך שנים, ונדון ל-8 חודשי מאסר בעבודות שירות ולקנס בסך 15,000 ₪ (ערעור שהוגש על חומרת העונש נמחק בהמלצת ביהמ"ש המחוזי)</w:t>
      </w:r>
      <w:r w:rsidR="00194C97">
        <w:rPr>
          <w:rFonts w:ascii="Calibri" w:eastAsia="Calibri" w:hAnsi="Calibri" w:cs="Arial" w:hint="cs"/>
          <w:noProof w:val="0"/>
          <w:rtl/>
        </w:rPr>
        <w:t>.</w:t>
      </w:r>
    </w:p>
    <w:p w:rsidR="001928D2" w:rsidRDefault="00194C97" w:rsidP="00194C97">
      <w:pPr>
        <w:spacing w:after="160" w:line="360" w:lineRule="auto"/>
        <w:jc w:val="both"/>
        <w:rPr>
          <w:rFonts w:ascii="Calibri" w:eastAsia="Calibri" w:hAnsi="Calibri" w:cs="Arial"/>
          <w:noProof w:val="0"/>
          <w:rtl/>
        </w:rPr>
      </w:pPr>
      <w:r>
        <w:rPr>
          <w:rFonts w:ascii="Calibri" w:eastAsia="Calibri" w:hAnsi="Calibri" w:cs="Arial" w:hint="cs"/>
          <w:noProof w:val="0"/>
          <w:rtl/>
        </w:rPr>
        <w:t xml:space="preserve">אשר לקנס הדגישה באת כוח המערער, </w:t>
      </w:r>
      <w:r w:rsidR="002203FA" w:rsidRPr="002203FA">
        <w:rPr>
          <w:rFonts w:ascii="Calibri" w:eastAsia="Calibri" w:hAnsi="Calibri" w:cs="Arial"/>
          <w:noProof w:val="0"/>
          <w:rtl/>
        </w:rPr>
        <w:t>כי היה מקום לקבוע מתחם קנס מאחר ולצד סעיף האישום אשר יוחס למשיב נקבע עונ</w:t>
      </w:r>
      <w:r>
        <w:rPr>
          <w:rFonts w:ascii="Calibri" w:eastAsia="Calibri" w:hAnsi="Calibri" w:cs="Arial"/>
          <w:noProof w:val="0"/>
          <w:rtl/>
        </w:rPr>
        <w:t>ש מינימום של קנס בשיעור 5,000 ₪</w:t>
      </w:r>
      <w:r>
        <w:rPr>
          <w:rFonts w:ascii="Calibri" w:eastAsia="Calibri" w:hAnsi="Calibri" w:cs="Arial" w:hint="cs"/>
          <w:noProof w:val="0"/>
          <w:rtl/>
        </w:rPr>
        <w:t>; טענה</w:t>
      </w:r>
      <w:r w:rsidR="002203FA" w:rsidRPr="002203FA">
        <w:rPr>
          <w:rFonts w:ascii="Calibri" w:eastAsia="Calibri" w:hAnsi="Calibri" w:cs="Arial"/>
          <w:noProof w:val="0"/>
          <w:rtl/>
        </w:rPr>
        <w:t>, כי העונש שהושת על המשיב, עונש שאינו כולל רכיבים של מאסר וקנס, אינו עומד בדרישות החוק להשתת קנס מינימום, אינו משקף את שיקולי ההלימה ואינו עונה על דרישות הרתעת היחיד והרבים</w:t>
      </w:r>
      <w:r>
        <w:rPr>
          <w:rFonts w:ascii="Calibri" w:eastAsia="Calibri" w:hAnsi="Calibri" w:cs="Arial" w:hint="cs"/>
          <w:noProof w:val="0"/>
          <w:rtl/>
        </w:rPr>
        <w:t xml:space="preserve">; וציינה, כי </w:t>
      </w:r>
      <w:r w:rsidR="002203FA" w:rsidRPr="002203FA">
        <w:rPr>
          <w:rFonts w:ascii="Miriam" w:eastAsia="Calibri" w:hAnsi="Miriam" w:cs="Miriam"/>
          <w:b/>
          <w:bCs/>
          <w:noProof w:val="0"/>
          <w:rtl/>
        </w:rPr>
        <w:t>"לעמדת המערערת, במצטבר למשגה של בית המשפט הנכבד קמא בעצם הימנעותו מקביעת מתחם עונש הולם, לרבות משגה בעניין ניתוח ומשקל נסיבות העבירה, פוטנציאל הנזק ומידת הפגיעה בערכים המוגנים, הוא שגה בעצם השתת ענישה נמוכה שאינה כוללת רכיבי מאסר בדמות עבודות שירות, הימנעות מהשתת מאסר מותנה, והימנעות מהשתת קנס כספי בניגוד להוראות סעיף החיקוק של הלנה לפי חוק הכניסה לישראל... יתר מכך... ההנמקה עליה מתבסס בית המשפט הנכבד בעשותו כן, שעניינה מחשש להעמיד את המשיב בסיכון חוזר של מיצוי ענישתי זה, עלול להתפרש על ידי המשיב ונאשמים שכמותו כ"חסינות שיפוטית" לביצוען של עבירות הלנה העסקה והסעה של קרובי משפחה שהינם תושבים זרים, כמו גם שיש בה לטעת מסר שגוי בדבר ערעור הליכי הרגולציה שנקבעו על ידי המדינה להסדרת מעמד בישראל"</w:t>
      </w:r>
      <w:r w:rsidR="002203FA" w:rsidRPr="002203FA">
        <w:rPr>
          <w:rFonts w:ascii="Calibri" w:eastAsia="Calibri" w:hAnsi="Calibri" w:cs="Arial"/>
          <w:noProof w:val="0"/>
          <w:rtl/>
        </w:rPr>
        <w:t xml:space="preserve"> (סעיף 10 להודעת הערעור). </w:t>
      </w:r>
    </w:p>
    <w:p w:rsidR="002203FA" w:rsidRPr="002203FA" w:rsidRDefault="002203FA" w:rsidP="00194C97">
      <w:pPr>
        <w:spacing w:after="160" w:line="360" w:lineRule="auto"/>
        <w:jc w:val="both"/>
        <w:rPr>
          <w:rFonts w:ascii="Calibri" w:eastAsia="Calibri" w:hAnsi="Calibri" w:cs="Arial"/>
          <w:noProof w:val="0"/>
          <w:rtl/>
        </w:rPr>
      </w:pPr>
      <w:r w:rsidRPr="002203FA">
        <w:rPr>
          <w:rFonts w:ascii="Calibri" w:eastAsia="Calibri" w:hAnsi="Calibri" w:cs="Arial"/>
          <w:noProof w:val="0"/>
          <w:rtl/>
        </w:rPr>
        <w:t xml:space="preserve">בנוסף, </w:t>
      </w:r>
      <w:r w:rsidR="00194C97">
        <w:rPr>
          <w:rFonts w:ascii="Calibri" w:eastAsia="Calibri" w:hAnsi="Calibri" w:cs="Arial" w:hint="cs"/>
          <w:noProof w:val="0"/>
          <w:rtl/>
        </w:rPr>
        <w:t>ובכל הנוגע לסוגיית אי הרשעתו של המשיב,</w:t>
      </w:r>
      <w:r w:rsidRPr="002203FA">
        <w:rPr>
          <w:rFonts w:ascii="Calibri" w:eastAsia="Calibri" w:hAnsi="Calibri" w:cs="Arial"/>
          <w:noProof w:val="0"/>
          <w:rtl/>
        </w:rPr>
        <w:t xml:space="preserve"> הדגישה</w:t>
      </w:r>
      <w:r w:rsidR="00194C97">
        <w:rPr>
          <w:rFonts w:ascii="Calibri" w:eastAsia="Calibri" w:hAnsi="Calibri" w:cs="Arial" w:hint="cs"/>
          <w:noProof w:val="0"/>
          <w:rtl/>
        </w:rPr>
        <w:t xml:space="preserve"> באת כוח המערערת</w:t>
      </w:r>
      <w:r w:rsidRPr="002203FA">
        <w:rPr>
          <w:rFonts w:ascii="Calibri" w:eastAsia="Calibri" w:hAnsi="Calibri" w:cs="Arial"/>
          <w:noProof w:val="0"/>
          <w:rtl/>
        </w:rPr>
        <w:t>, כי אי הרשעת נאשם, באופן כללי, אמורה להיעשות במקרים חריגים בלבד</w:t>
      </w:r>
      <w:r w:rsidR="00194C97">
        <w:rPr>
          <w:rFonts w:ascii="Calibri" w:eastAsia="Calibri" w:hAnsi="Calibri" w:cs="Arial" w:hint="cs"/>
          <w:noProof w:val="0"/>
          <w:rtl/>
        </w:rPr>
        <w:t>,</w:t>
      </w:r>
      <w:r w:rsidRPr="002203FA">
        <w:rPr>
          <w:rFonts w:ascii="Calibri" w:eastAsia="Calibri" w:hAnsi="Calibri" w:cs="Arial"/>
          <w:noProof w:val="0"/>
          <w:rtl/>
        </w:rPr>
        <w:t xml:space="preserve"> כאשר ההרשעה עתידה לפגוע פגיעה חמורה בשיקומו של הנאשם</w:t>
      </w:r>
      <w:r w:rsidR="00194C97">
        <w:rPr>
          <w:rFonts w:ascii="Calibri" w:eastAsia="Calibri" w:hAnsi="Calibri" w:cs="Arial" w:hint="cs"/>
          <w:noProof w:val="0"/>
          <w:rtl/>
        </w:rPr>
        <w:t>,</w:t>
      </w:r>
      <w:r w:rsidRPr="002203FA">
        <w:rPr>
          <w:rFonts w:ascii="Calibri" w:eastAsia="Calibri" w:hAnsi="Calibri" w:cs="Arial"/>
          <w:noProof w:val="0"/>
          <w:rtl/>
        </w:rPr>
        <w:t xml:space="preserve"> כאשר סוג העבירה מאפשר לוותר בנסיבות המקרה על ההרשעה מבלי לפגוע באופן מהותי בשיקולי הענישה האחרים</w:t>
      </w:r>
      <w:r w:rsidR="00194C97">
        <w:rPr>
          <w:rFonts w:ascii="Calibri" w:eastAsia="Calibri" w:hAnsi="Calibri" w:cs="Arial" w:hint="cs"/>
          <w:noProof w:val="0"/>
          <w:rtl/>
        </w:rPr>
        <w:t>,</w:t>
      </w:r>
      <w:r w:rsidRPr="002203FA">
        <w:rPr>
          <w:rFonts w:ascii="Calibri" w:eastAsia="Calibri" w:hAnsi="Calibri" w:cs="Arial"/>
          <w:noProof w:val="0"/>
          <w:rtl/>
        </w:rPr>
        <w:t xml:space="preserve"> וכאשר תיגרם לנאשם פגיעה קונקרטית מהותית כתוצאה מהרשעתו. ובמקרה שבפנינו, לעמדתה, אף אחד מהתנאים הנ"ל אינ</w:t>
      </w:r>
      <w:r w:rsidR="00194C97">
        <w:rPr>
          <w:rFonts w:ascii="Calibri" w:eastAsia="Calibri" w:hAnsi="Calibri" w:cs="Arial" w:hint="cs"/>
          <w:noProof w:val="0"/>
          <w:rtl/>
        </w:rPr>
        <w:t>ו</w:t>
      </w:r>
      <w:r w:rsidR="00194C97">
        <w:rPr>
          <w:rFonts w:ascii="Calibri" w:eastAsia="Calibri" w:hAnsi="Calibri" w:cs="Arial"/>
          <w:noProof w:val="0"/>
          <w:rtl/>
        </w:rPr>
        <w:t xml:space="preserve"> מתקיי</w:t>
      </w:r>
      <w:r w:rsidRPr="002203FA">
        <w:rPr>
          <w:rFonts w:ascii="Calibri" w:eastAsia="Calibri" w:hAnsi="Calibri" w:cs="Arial"/>
          <w:noProof w:val="0"/>
          <w:rtl/>
        </w:rPr>
        <w:t>ם, שכן מהות העבירה ונסיבותיה אינן מאפשרות את החלת החריג של אי הרשעה מבלי לפגוע בשיקולי הענישה האחרים (</w:t>
      </w:r>
      <w:r w:rsidRPr="002203FA">
        <w:rPr>
          <w:rFonts w:ascii="Miriam" w:eastAsia="Calibri" w:hAnsi="Miriam" w:cs="Miriam"/>
          <w:b/>
          <w:bCs/>
          <w:noProof w:val="0"/>
          <w:rtl/>
        </w:rPr>
        <w:t>"תוצאה זו של אי הרשעת המשיב, שהלין במשך 14 שנים את אשתו ביודעו כי היא תושבת שטחי הרשות השוהה בישראל שלא כדין, אינה עולה בקנה אחד עם פסיקת בית המשפט העליון בכל הנוגע למליני שב"ח... הקוראת למדינה למצות נגדם את ההליכים המשפטיים ולהענישם"</w:t>
      </w:r>
      <w:r w:rsidRPr="002203FA">
        <w:rPr>
          <w:rFonts w:ascii="Calibri" w:eastAsia="Calibri" w:hAnsi="Calibri" w:cs="Arial"/>
          <w:noProof w:val="0"/>
          <w:rtl/>
        </w:rPr>
        <w:t>, סעיף 15 להודעת הערעור); למשיב ממילא הרשעות קודמות; המשיב לא עבר כל הליך טיפולי; ואין חולק שלא ייגרם לו כל נזק מעצם הרשעתו.</w:t>
      </w:r>
    </w:p>
    <w:p w:rsidR="002203FA" w:rsidRPr="002203FA" w:rsidRDefault="002203FA" w:rsidP="009A2EDF">
      <w:pPr>
        <w:spacing w:after="160" w:line="360" w:lineRule="auto"/>
        <w:jc w:val="both"/>
        <w:rPr>
          <w:rFonts w:ascii="Calibri" w:eastAsia="Calibri" w:hAnsi="Calibri" w:cs="Arial"/>
          <w:noProof w:val="0"/>
          <w:rtl/>
        </w:rPr>
      </w:pPr>
      <w:r w:rsidRPr="002203FA">
        <w:rPr>
          <w:rFonts w:ascii="Calibri" w:eastAsia="Calibri" w:hAnsi="Calibri" w:cs="Arial"/>
          <w:noProof w:val="0"/>
          <w:rtl/>
        </w:rPr>
        <w:lastRenderedPageBreak/>
        <w:t>במהלך הדיון הוסיפה ב"כ המערערת וציינה, כי במקרה זה יוחסה למשיב הוראת החיקוק המקלה יותר (לפי סעיף 12ב2(א)(1) לחוק הכניסה לישראל) – דהיינו עד שנתיים מאסר בפועל או קנס שלא יפחת מ-5,000 ₪ (לפי ס"ק 12ב</w:t>
      </w:r>
      <w:r w:rsidR="009A2EDF">
        <w:rPr>
          <w:rFonts w:ascii="Calibri" w:eastAsia="Calibri" w:hAnsi="Calibri" w:cs="Arial"/>
          <w:noProof w:val="0"/>
          <w:rtl/>
        </w:rPr>
        <w:t>2</w:t>
      </w:r>
      <w:r w:rsidRPr="002203FA">
        <w:rPr>
          <w:rFonts w:ascii="Calibri" w:eastAsia="Calibri" w:hAnsi="Calibri" w:cs="Arial"/>
          <w:noProof w:val="0"/>
          <w:rtl/>
        </w:rPr>
        <w:t>(ג)(1) לחוק זה), למרות שניתן היה לייחס לו עבירה מחמירה יותר (לפי סעיף 12ב</w:t>
      </w:r>
      <w:r w:rsidR="009A2EDF">
        <w:rPr>
          <w:rFonts w:ascii="Calibri" w:eastAsia="Calibri" w:hAnsi="Calibri" w:cs="Arial"/>
          <w:noProof w:val="0"/>
          <w:rtl/>
        </w:rPr>
        <w:t>3</w:t>
      </w:r>
      <w:r w:rsidRPr="002203FA">
        <w:rPr>
          <w:rFonts w:ascii="Calibri" w:eastAsia="Calibri" w:hAnsi="Calibri" w:cs="Arial"/>
          <w:noProof w:val="0"/>
          <w:rtl/>
        </w:rPr>
        <w:t>(א)(2) לחוק) – דהיינו, עד 4 שנות מאסר בפועל או קנס שלא יפחת מ-10,000 ₪ (לפי ס"ק 12ב</w:t>
      </w:r>
      <w:r w:rsidR="009A2EDF">
        <w:rPr>
          <w:rFonts w:ascii="Calibri" w:eastAsia="Calibri" w:hAnsi="Calibri" w:cs="Arial"/>
          <w:noProof w:val="0"/>
          <w:rtl/>
        </w:rPr>
        <w:t>3</w:t>
      </w:r>
      <w:r w:rsidRPr="002203FA">
        <w:rPr>
          <w:rFonts w:ascii="Calibri" w:eastAsia="Calibri" w:hAnsi="Calibri" w:cs="Arial"/>
          <w:noProof w:val="0"/>
          <w:rtl/>
        </w:rPr>
        <w:t xml:space="preserve">(ג)(1) לחוק), ובכך כבר הלכו </w:t>
      </w:r>
      <w:r w:rsidR="009A2EDF">
        <w:rPr>
          <w:rFonts w:ascii="Calibri" w:eastAsia="Calibri" w:hAnsi="Calibri" w:cs="Arial" w:hint="cs"/>
          <w:noProof w:val="0"/>
          <w:rtl/>
        </w:rPr>
        <w:t xml:space="preserve">כברת דרך </w:t>
      </w:r>
      <w:r w:rsidRPr="002203FA">
        <w:rPr>
          <w:rFonts w:ascii="Calibri" w:eastAsia="Calibri" w:hAnsi="Calibri" w:cs="Arial"/>
          <w:noProof w:val="0"/>
          <w:rtl/>
        </w:rPr>
        <w:t xml:space="preserve">לקראתו; כי לא הוגש כתב אישום כנגד האישה, השוהה הבלתי חוקית (וזאת במנוגד למה </w:t>
      </w:r>
      <w:r w:rsidR="009A2EDF">
        <w:rPr>
          <w:rFonts w:ascii="Calibri" w:eastAsia="Calibri" w:hAnsi="Calibri" w:cs="Arial" w:hint="cs"/>
          <w:noProof w:val="0"/>
          <w:rtl/>
        </w:rPr>
        <w:t>ש</w:t>
      </w:r>
      <w:r w:rsidRPr="002203FA">
        <w:rPr>
          <w:rFonts w:ascii="Calibri" w:eastAsia="Calibri" w:hAnsi="Calibri" w:cs="Arial"/>
          <w:noProof w:val="0"/>
          <w:rtl/>
        </w:rPr>
        <w:t>נעשה בעבר, עת הוגשו כתבי אישום הן כנגד המלין – הבעל, והן כנגד השוהה הבלתי חוקית – האישה). לאור כל האמור, ביקשה לקבוע מתחם עונש מאסר בפועל שינוע בין 6 ל-14 חודשי מאסר בפועל, לדון את המשיב לעונש מאסר של 6 חודשים שירוצה בדרך של עבודות שירות לצד מאסר מותנה, לקבוע מתחם לרכיב הקנס ולהשית על המשיב קנס שלא יפחת מ-10,000 ₪.</w:t>
      </w:r>
    </w:p>
    <w:p w:rsidR="002203FA" w:rsidRPr="002203FA" w:rsidRDefault="002203FA" w:rsidP="002203FA">
      <w:pPr>
        <w:spacing w:after="160" w:line="360" w:lineRule="auto"/>
        <w:jc w:val="both"/>
        <w:rPr>
          <w:rFonts w:ascii="Calibri" w:eastAsia="Calibri" w:hAnsi="Calibri" w:cs="Arial"/>
          <w:noProof w:val="0"/>
          <w:rtl/>
        </w:rPr>
      </w:pPr>
    </w:p>
    <w:p w:rsidR="002203FA" w:rsidRPr="002203FA" w:rsidRDefault="002203FA" w:rsidP="002203FA">
      <w:pPr>
        <w:spacing w:after="160" w:line="360" w:lineRule="auto"/>
        <w:jc w:val="both"/>
        <w:rPr>
          <w:rFonts w:ascii="Calibri" w:eastAsia="Calibri" w:hAnsi="Calibri" w:cs="Arial"/>
          <w:noProof w:val="0"/>
          <w:rtl/>
        </w:rPr>
      </w:pPr>
      <w:r w:rsidRPr="002203FA">
        <w:rPr>
          <w:rFonts w:ascii="Calibri" w:eastAsia="Calibri" w:hAnsi="Calibri" w:cs="Arial"/>
          <w:b/>
          <w:bCs/>
          <w:noProof w:val="0"/>
          <w:rtl/>
        </w:rPr>
        <w:t>לעומתה סברה באת כוח המשיב</w:t>
      </w:r>
      <w:r w:rsidRPr="002203FA">
        <w:rPr>
          <w:rFonts w:ascii="Calibri" w:eastAsia="Calibri" w:hAnsi="Calibri" w:cs="Arial"/>
          <w:noProof w:val="0"/>
          <w:rtl/>
        </w:rPr>
        <w:t>, כי אין להתערב בפסיקת ביהמ"ש. במהלך הדיון פתחה טיעוניה בכך, ש</w:t>
      </w:r>
      <w:r w:rsidRPr="002203FA">
        <w:rPr>
          <w:rFonts w:ascii="Miriam" w:eastAsia="Calibri" w:hAnsi="Miriam" w:cs="Miriam"/>
          <w:b/>
          <w:bCs/>
          <w:noProof w:val="0"/>
          <w:rtl/>
        </w:rPr>
        <w:t>"לא אנוכי ולא המשיב מקלים ראש בעבירה שיוחסה לו ובערכים המוגנים שהיא באה להגן עליהם וכיוצא באלה... יחד עם זאת אנו סבורים שהתיק הזה ונסיבותיו, זה לא המקרה שבו המדינה צריכה לעמוד על שתי הרגליים האחוריות הן לעניין ההרשעה והן לעניין הענישה בדמות מאסר בפועל. עם כל הכבוד למדינה זה לא תיק רגיל של הלנת שב"ח, זה משהו שעלה במהלך כל הדיונים בפני בית משפט קמא, זה משהו שקיבל ביטוי ברור גם בפסק דינו של בית משפט קמא... יש כאן נסיבות מאוד מאוד מיוחדות... אנו מדברים כאן על משיב שעל פי הנטען בכתב האישום הלין את אשתו, לה הוא נשוי משנת 2006 ולהם ילדים משותפים, 9 ילדים. אנחנו מדברים קודם כל על תקופת עבירה מאוד מאוד ארוכה, היא נמצאת כאן ברצף 14 שנים. לצד זה, במשך כל השנים הללו, וליתר דיוק משנת 2012, המשיב באופן נמרץ מנסה להסדיר את המעמד שלה בישראל. אני באופן אישי מייצגת אותו בהליכים הללו מול משרד הפנים בשמונה שנים האחרונות..."</w:t>
      </w:r>
      <w:r w:rsidRPr="002203FA">
        <w:rPr>
          <w:rFonts w:ascii="Calibri" w:eastAsia="Calibri" w:hAnsi="Calibri" w:cs="Arial"/>
          <w:noProof w:val="0"/>
          <w:rtl/>
        </w:rPr>
        <w:t xml:space="preserve">. אשר לטענה, כי המדינה מתנגדת למתן אשרת שהייה בישראל לאשת המשיב בין היתר נוכח החשש מנושא של ריבוי נישואין, הדגישה באת כוח המשיב, כי </w:t>
      </w:r>
      <w:r w:rsidRPr="002203FA">
        <w:rPr>
          <w:rFonts w:ascii="Miriam" w:eastAsia="Calibri" w:hAnsi="Miriam" w:cs="Miriam"/>
          <w:b/>
          <w:bCs/>
          <w:noProof w:val="0"/>
          <w:rtl/>
        </w:rPr>
        <w:t>"לא מדובר כאן בנושא של ריבוי נישואין, זה לא העניין. המשיב נשוי לאישה אחת ויחידה ברציפות משנת 2006 והיא האישה מושא כתב האישום. יש נשים קודמות שהן לא נוספות ואני מדגישה כי לא מדובר בנשים נוספות אלא בנשים קודמות"</w:t>
      </w:r>
      <w:r w:rsidRPr="002203FA">
        <w:rPr>
          <w:rFonts w:ascii="Calibri" w:eastAsia="Calibri" w:hAnsi="Calibri" w:cs="Arial"/>
          <w:noProof w:val="0"/>
          <w:rtl/>
        </w:rPr>
        <w:t xml:space="preserve"> מהן התגרש טרם נישואיו לאשתו הנוכחית. כן טענה, כי המדינה </w:t>
      </w:r>
      <w:r w:rsidRPr="002203FA">
        <w:rPr>
          <w:rFonts w:ascii="Miriam" w:eastAsia="Calibri" w:hAnsi="Miriam" w:cs="Miriam"/>
          <w:b/>
          <w:bCs/>
          <w:noProof w:val="0"/>
          <w:rtl/>
        </w:rPr>
        <w:t>"גררה רגליים"</w:t>
      </w:r>
      <w:r w:rsidRPr="002203FA">
        <w:rPr>
          <w:rFonts w:ascii="Calibri" w:eastAsia="Calibri" w:hAnsi="Calibri" w:cs="Arial"/>
          <w:noProof w:val="0"/>
          <w:rtl/>
        </w:rPr>
        <w:t xml:space="preserve"> במשך שנים ולא השיבה לבקשותיו של המשיב (</w:t>
      </w:r>
      <w:r w:rsidRPr="002203FA">
        <w:rPr>
          <w:rFonts w:ascii="Miriam" w:eastAsia="Calibri" w:hAnsi="Miriam" w:cs="Miriam"/>
          <w:b/>
          <w:bCs/>
          <w:noProof w:val="0"/>
          <w:rtl/>
        </w:rPr>
        <w:t xml:space="preserve">"צריך לתת את הדעת, ובית המשפט קמא גם נתן לכך את הדעת, לעובדה שהמדינה – משרד הפנים – גררו רגליים המון שנים... במשך שלוש שנים חרף מסמכים </w:t>
      </w:r>
      <w:r w:rsidRPr="002203FA">
        <w:rPr>
          <w:rFonts w:ascii="Miriam" w:eastAsia="Calibri" w:hAnsi="Miriam" w:cs="Miriam"/>
          <w:b/>
          <w:bCs/>
          <w:noProof w:val="0"/>
          <w:rtl/>
        </w:rPr>
        <w:lastRenderedPageBreak/>
        <w:t>ותזכורת וחרף זה שהמשיב הלך אליהם עשרות פעמים וביקש לקבל מזור.  אני לא מחלקת ציונים אבל אני מציינת עובדה פשוטה, שהליך שהוגש, ערר, לא נדון במשך שלוש שנים..."</w:t>
      </w:r>
      <w:r w:rsidRPr="002203FA">
        <w:rPr>
          <w:rFonts w:ascii="Calibri" w:eastAsia="Calibri" w:hAnsi="Calibri" w:cs="Arial"/>
          <w:noProof w:val="0"/>
          <w:rtl/>
        </w:rPr>
        <w:t>); כי המשיב נקלע למצב קשה ובלתי אפשרי בשל התנהלות המדינה, וענישה אחרת מזו שהטיל ביהמ"ש קמא לא תאפשר לו להמשיך לגדל את ילדיו (אם אלה מאשתו הנוכחית ואם ילדיו מנישואיו הקודמים) או לנהל את עסקו (</w:t>
      </w:r>
      <w:r w:rsidRPr="002203FA">
        <w:rPr>
          <w:rFonts w:ascii="Miriam" w:eastAsia="Calibri" w:hAnsi="Miriam" w:cs="Miriam"/>
          <w:b/>
          <w:bCs/>
          <w:noProof w:val="0"/>
          <w:rtl/>
        </w:rPr>
        <w:t>"מחד יש לו כאן ילדים קטינים עם האישה מושא כתב האישום, הוא גם בעל עסק עצמאי, הוא עובד לפרנסתו, מפרנס יחיד. חוץ מהאישה נשוא כתב האישום יש לו עוד ילדים שהוא תומך בהם כלכלית ושהם סמוכים על שולחנו... שגם אם אנו מדברים על עבודות שירות הרי שזה יפגע בצורה מאוד מאוד מהותית בהיקף השעות שהוא ייתן בעסק שלו ובכך זה ישפיע על ההכנסה שלו, על היכולת שלו לפרנס את משפחתו באותו היקף ובאותה צורה שהוא מפרנס אותם כיום"</w:t>
      </w:r>
      <w:r w:rsidRPr="002203FA">
        <w:rPr>
          <w:rFonts w:ascii="Calibri" w:eastAsia="Calibri" w:hAnsi="Calibri" w:cs="Arial"/>
          <w:noProof w:val="0"/>
          <w:rtl/>
        </w:rPr>
        <w:t xml:space="preserve">); כי הרשעה תפגע בו ובפרנסתו. אמנם למשיב עסק עצמאי, אולם </w:t>
      </w:r>
      <w:r w:rsidRPr="002203FA">
        <w:rPr>
          <w:rFonts w:ascii="Miriam" w:eastAsia="Calibri" w:hAnsi="Miriam" w:cs="Miriam"/>
          <w:b/>
          <w:bCs/>
          <w:noProof w:val="0"/>
          <w:rtl/>
        </w:rPr>
        <w:t>"יש סיטואציות שהוא גם מבצע עבודות עבור גופים ציבוריים... אני אומרת את זה ברמה העקרונית... נכון שהוא לא יפטר את עצמו אבל זה יכול לפגוע בו, במוניטין של העסק ובעצמו כאשר הוא ירצה לגשת למכרזים"</w:t>
      </w:r>
      <w:r w:rsidRPr="002203FA">
        <w:rPr>
          <w:rFonts w:ascii="Calibri" w:eastAsia="Calibri" w:hAnsi="Calibri" w:cs="Arial"/>
          <w:noProof w:val="0"/>
          <w:rtl/>
        </w:rPr>
        <w:t xml:space="preserve">; כי </w:t>
      </w:r>
      <w:r w:rsidRPr="002203FA">
        <w:rPr>
          <w:rFonts w:ascii="Miriam" w:eastAsia="Calibri" w:hAnsi="Miriam" w:cs="Miriam"/>
          <w:b/>
          <w:bCs/>
          <w:noProof w:val="0"/>
          <w:rtl/>
        </w:rPr>
        <w:t>"ניתן לשקול אי הרשעה גם מטעמי הגנה מן הצדק"</w:t>
      </w:r>
      <w:r w:rsidRPr="002203FA">
        <w:rPr>
          <w:rFonts w:ascii="Calibri" w:eastAsia="Calibri" w:hAnsi="Calibri" w:cs="Arial"/>
          <w:noProof w:val="0"/>
          <w:rtl/>
        </w:rPr>
        <w:t xml:space="preserve">; וכי המשיב </w:t>
      </w:r>
      <w:r w:rsidRPr="002203FA">
        <w:rPr>
          <w:rFonts w:ascii="Miriam" w:eastAsia="Calibri" w:hAnsi="Miriam" w:cs="Miriam"/>
          <w:b/>
          <w:bCs/>
          <w:noProof w:val="0"/>
          <w:rtl/>
        </w:rPr>
        <w:t>"יסכים לשלם קנס כספי ואפילו משמעותי ובלבד והחופש שלו לא יפגע"</w:t>
      </w:r>
      <w:r w:rsidRPr="002203FA">
        <w:rPr>
          <w:rFonts w:ascii="Calibri" w:eastAsia="Calibri" w:hAnsi="Calibri" w:cs="Arial"/>
          <w:noProof w:val="0"/>
          <w:rtl/>
        </w:rPr>
        <w:t>. נוכח כל האמור, ואף לאור האמור בתסקיר שירות המבחן (</w:t>
      </w:r>
      <w:r w:rsidRPr="002203FA">
        <w:rPr>
          <w:rFonts w:ascii="Miriam" w:eastAsia="Calibri" w:hAnsi="Miriam" w:cs="Miriam"/>
          <w:b/>
          <w:bCs/>
          <w:noProof w:val="0"/>
          <w:rtl/>
        </w:rPr>
        <w:t>"מבקשת להתחשב בתסקיר שירות המבחן שהיה מאוד מאוד חיובי ומדבר בעד עצמו..."</w:t>
      </w:r>
      <w:r w:rsidRPr="002203FA">
        <w:rPr>
          <w:rFonts w:ascii="Calibri" w:eastAsia="Calibri" w:hAnsi="Calibri" w:cs="Arial"/>
          <w:noProof w:val="0"/>
          <w:rtl/>
        </w:rPr>
        <w:t xml:space="preserve">), ביקשה באת כוח המשיב </w:t>
      </w:r>
      <w:r w:rsidRPr="002203FA">
        <w:rPr>
          <w:rFonts w:ascii="Miriam" w:eastAsia="Calibri" w:hAnsi="Miriam" w:cs="Miriam"/>
          <w:b/>
          <w:bCs/>
          <w:noProof w:val="0"/>
          <w:rtl/>
        </w:rPr>
        <w:t>"להסתכל על התמונה במלואה וכן ליתן את המקום שבית המשפט קמא נתן לנסיבותיו האישיות של המשיב... נבקש התחשבות גם בנסיבותיו של המשיב, גם בנסיבות ביצוע העבירה וגם בעוול הנוראי שהוא מצוי בו משך למעלה מעשור אל מול רשויות אחרות של המדינה, שלא מקבל מענים או שלא מקבל מענים במועד"</w:t>
      </w:r>
      <w:r w:rsidRPr="002203FA">
        <w:rPr>
          <w:rFonts w:ascii="Calibri" w:eastAsia="Calibri" w:hAnsi="Calibri" w:cs="Arial"/>
          <w:noProof w:val="0"/>
          <w:rtl/>
        </w:rPr>
        <w:t xml:space="preserve">. אכן, למשיב שתי הרשעות מס קודמות, אך לטענתה אלה </w:t>
      </w:r>
      <w:r w:rsidRPr="002203FA">
        <w:rPr>
          <w:rFonts w:ascii="Miriam" w:eastAsia="Calibri" w:hAnsi="Miriam" w:cs="Miriam"/>
          <w:b/>
          <w:bCs/>
          <w:noProof w:val="0"/>
          <w:rtl/>
        </w:rPr>
        <w:t>"לא רלוונטיות לעניינינו"</w:t>
      </w:r>
      <w:r w:rsidRPr="002203FA">
        <w:rPr>
          <w:rFonts w:ascii="Calibri" w:eastAsia="Calibri" w:hAnsi="Calibri" w:cs="Arial"/>
          <w:noProof w:val="0"/>
          <w:rtl/>
        </w:rPr>
        <w:t xml:space="preserve"> ובסך הכל </w:t>
      </w:r>
      <w:r w:rsidRPr="002203FA">
        <w:rPr>
          <w:rFonts w:ascii="Miriam" w:eastAsia="Calibri" w:hAnsi="Miriam" w:cs="Miriam"/>
          <w:b/>
          <w:bCs/>
          <w:noProof w:val="0"/>
          <w:rtl/>
        </w:rPr>
        <w:t>"מדובר באדם שהוא נורמטיבי אשר מנהל אורח חיים רגילים, הולך לעבודה בבוקר וחוזר למשפחתו, יש לו עסק"</w:t>
      </w:r>
      <w:r w:rsidRPr="002203FA">
        <w:rPr>
          <w:rFonts w:ascii="Calibri" w:eastAsia="Calibri" w:hAnsi="Calibri" w:cs="Arial"/>
          <w:noProof w:val="0"/>
          <w:rtl/>
        </w:rPr>
        <w:t>, ועל כן ביקשה לדחות את הערעור.</w:t>
      </w:r>
    </w:p>
    <w:p w:rsidR="002203FA" w:rsidRPr="002203FA" w:rsidRDefault="002203FA" w:rsidP="0035639D">
      <w:pPr>
        <w:spacing w:after="160" w:line="360" w:lineRule="auto"/>
        <w:jc w:val="both"/>
        <w:rPr>
          <w:rFonts w:ascii="Calibri" w:eastAsia="Calibri" w:hAnsi="Calibri" w:cs="Arial"/>
          <w:noProof w:val="0"/>
          <w:rtl/>
        </w:rPr>
      </w:pPr>
      <w:r w:rsidRPr="002203FA">
        <w:rPr>
          <w:rFonts w:ascii="Calibri" w:eastAsia="Calibri" w:hAnsi="Calibri" w:cs="Arial"/>
          <w:b/>
          <w:bCs/>
          <w:noProof w:val="0"/>
          <w:rtl/>
        </w:rPr>
        <w:t>המשיב</w:t>
      </w:r>
      <w:r w:rsidRPr="002203FA">
        <w:rPr>
          <w:rFonts w:ascii="Calibri" w:eastAsia="Calibri" w:hAnsi="Calibri" w:cs="Arial"/>
          <w:noProof w:val="0"/>
          <w:rtl/>
        </w:rPr>
        <w:t xml:space="preserve"> ביקש אף הוא לומר מספר מילים, ובדבריו חזר על הדברים שנשא טרם גזירת עונשו. כך טען, כי אשתו, לה נישא בשנת 2005 (</w:t>
      </w:r>
      <w:r w:rsidRPr="002203FA">
        <w:rPr>
          <w:rFonts w:ascii="Miriam" w:eastAsia="Calibri" w:hAnsi="Miriam" w:cs="Miriam"/>
          <w:b/>
          <w:bCs/>
          <w:noProof w:val="0"/>
          <w:rtl/>
        </w:rPr>
        <w:t>"אני התחתנתי כדת וכדין"</w:t>
      </w:r>
      <w:r w:rsidRPr="002203FA">
        <w:rPr>
          <w:rFonts w:ascii="Calibri" w:eastAsia="Calibri" w:hAnsi="Calibri" w:cs="Arial"/>
          <w:noProof w:val="0"/>
          <w:rtl/>
        </w:rPr>
        <w:t>), היא ילידת ירדן אולם חיה מרבית חייה בשטחים; כי אשתו ילדה את כל ילדיהם בבית החולים "סורוקה" ו</w:t>
      </w:r>
      <w:r w:rsidRPr="002203FA">
        <w:rPr>
          <w:rFonts w:ascii="Miriam" w:eastAsia="Calibri" w:hAnsi="Miriam" w:cs="Miriam"/>
          <w:b/>
          <w:bCs/>
          <w:noProof w:val="0"/>
          <w:rtl/>
        </w:rPr>
        <w:t>"ואף פעם לא ביקשו ממני לא היתר כניסה ולא אישור"</w:t>
      </w:r>
      <w:r w:rsidRPr="002203FA">
        <w:rPr>
          <w:rFonts w:ascii="Calibri" w:eastAsia="Calibri" w:hAnsi="Calibri" w:cs="Arial"/>
          <w:noProof w:val="0"/>
          <w:rtl/>
        </w:rPr>
        <w:t xml:space="preserve">; וכי </w:t>
      </w:r>
      <w:r w:rsidRPr="002203FA">
        <w:rPr>
          <w:rFonts w:ascii="Miriam" w:eastAsia="Calibri" w:hAnsi="Miriam" w:cs="Miriam"/>
          <w:b/>
          <w:bCs/>
          <w:noProof w:val="0"/>
          <w:rtl/>
        </w:rPr>
        <w:t>"עד לשנת 2005 לא היו מחסומים ולא היו היתרי כניסה לישראל, היו נכנסים חופשי ללא היתרי עבודה..</w:t>
      </w:r>
      <w:r w:rsidR="00C04890">
        <w:rPr>
          <w:rFonts w:ascii="Miriam" w:eastAsia="Calibri" w:hAnsi="Miriam" w:cs="Miriam" w:hint="cs"/>
          <w:b/>
          <w:bCs/>
          <w:noProof w:val="0"/>
          <w:rtl/>
        </w:rPr>
        <w:t>.</w:t>
      </w:r>
      <w:r w:rsidRPr="002203FA">
        <w:rPr>
          <w:rFonts w:ascii="Miriam" w:eastAsia="Calibri" w:hAnsi="Miriam" w:cs="Miriam"/>
          <w:b/>
          <w:bCs/>
          <w:noProof w:val="0"/>
          <w:rtl/>
        </w:rPr>
        <w:t xml:space="preserve"> ביקשתי איחוד ולא היתר... בשנת 2005 הייתה כניסה חופשית לישראל ולא היה צורך בהיתר, אני הייתי נכנס ויוצא מהשטחים ולא היה מחסום ולא כלום. לא היו גבולות... בשנת 2008 רצתי למשרד הפנים כדי לעשות איחוד משפחה. אני לא מתעלם מהחוק"</w:t>
      </w:r>
      <w:r w:rsidRPr="002203FA">
        <w:rPr>
          <w:rFonts w:ascii="Calibri" w:eastAsia="Calibri" w:hAnsi="Calibri" w:cs="Arial"/>
          <w:noProof w:val="0"/>
          <w:rtl/>
        </w:rPr>
        <w:t xml:space="preserve">. </w:t>
      </w:r>
    </w:p>
    <w:p w:rsidR="002203FA" w:rsidRPr="002203FA" w:rsidRDefault="002203FA" w:rsidP="002203FA">
      <w:pPr>
        <w:spacing w:after="160" w:line="360" w:lineRule="auto"/>
        <w:jc w:val="both"/>
        <w:rPr>
          <w:rFonts w:ascii="Calibri" w:eastAsia="Calibri" w:hAnsi="Calibri" w:cs="Arial"/>
          <w:b/>
          <w:bCs/>
          <w:noProof w:val="0"/>
          <w:u w:val="single"/>
          <w:rtl/>
        </w:rPr>
      </w:pPr>
      <w:r w:rsidRPr="002203FA">
        <w:rPr>
          <w:rFonts w:ascii="Calibri" w:eastAsia="Calibri" w:hAnsi="Calibri" w:cs="Arial"/>
          <w:b/>
          <w:bCs/>
          <w:noProof w:val="0"/>
          <w:u w:val="single"/>
          <w:rtl/>
        </w:rPr>
        <w:lastRenderedPageBreak/>
        <w:t>דיון והכרעה</w:t>
      </w:r>
    </w:p>
    <w:p w:rsidR="00B71528" w:rsidRDefault="00C04890" w:rsidP="0019655B">
      <w:pPr>
        <w:spacing w:after="160" w:line="360" w:lineRule="auto"/>
        <w:jc w:val="both"/>
        <w:rPr>
          <w:rFonts w:ascii="Calibri" w:eastAsia="Calibri" w:hAnsi="Calibri" w:cs="Arial"/>
          <w:noProof w:val="0"/>
          <w:rtl/>
        </w:rPr>
      </w:pPr>
      <w:r>
        <w:rPr>
          <w:rFonts w:ascii="Calibri" w:eastAsia="Calibri" w:hAnsi="Calibri" w:cs="Arial" w:hint="cs"/>
          <w:noProof w:val="0"/>
          <w:rtl/>
        </w:rPr>
        <w:t xml:space="preserve">לאחר עיון בתיק ביהמ"ש קמא ובמסמכים שהוגשו </w:t>
      </w:r>
      <w:r w:rsidR="00B71528">
        <w:rPr>
          <w:rFonts w:ascii="Calibri" w:eastAsia="Calibri" w:hAnsi="Calibri" w:cs="Arial" w:hint="cs"/>
          <w:noProof w:val="0"/>
          <w:rtl/>
        </w:rPr>
        <w:t>לעיוננו</w:t>
      </w:r>
      <w:r>
        <w:rPr>
          <w:rFonts w:ascii="Calibri" w:eastAsia="Calibri" w:hAnsi="Calibri" w:cs="Arial" w:hint="cs"/>
          <w:noProof w:val="0"/>
          <w:rtl/>
        </w:rPr>
        <w:t>, ולאחר ששמענו את באות כוח הצדדים ואת המשיב</w:t>
      </w:r>
      <w:r w:rsidR="00B71528">
        <w:rPr>
          <w:rFonts w:ascii="Calibri" w:eastAsia="Calibri" w:hAnsi="Calibri" w:cs="Arial" w:hint="cs"/>
          <w:noProof w:val="0"/>
          <w:rtl/>
        </w:rPr>
        <w:t xml:space="preserve"> עצמו</w:t>
      </w:r>
      <w:r>
        <w:rPr>
          <w:rFonts w:ascii="Calibri" w:eastAsia="Calibri" w:hAnsi="Calibri" w:cs="Arial" w:hint="cs"/>
          <w:noProof w:val="0"/>
          <w:rtl/>
        </w:rPr>
        <w:t xml:space="preserve">, מצאנו כי איננו יכולים להסכים עם </w:t>
      </w:r>
      <w:r w:rsidR="002203FA" w:rsidRPr="002203FA">
        <w:rPr>
          <w:rFonts w:ascii="Calibri" w:eastAsia="Calibri" w:hAnsi="Calibri" w:cs="Arial"/>
          <w:noProof w:val="0"/>
          <w:rtl/>
        </w:rPr>
        <w:t xml:space="preserve">הנימוקים שציין </w:t>
      </w:r>
      <w:r>
        <w:rPr>
          <w:rFonts w:ascii="Calibri" w:eastAsia="Calibri" w:hAnsi="Calibri" w:cs="Arial" w:hint="cs"/>
          <w:noProof w:val="0"/>
          <w:rtl/>
        </w:rPr>
        <w:t xml:space="preserve">ביהמ"ש קמא </w:t>
      </w:r>
      <w:r w:rsidR="002203FA" w:rsidRPr="002203FA">
        <w:rPr>
          <w:rFonts w:ascii="Calibri" w:eastAsia="Calibri" w:hAnsi="Calibri" w:cs="Arial"/>
          <w:noProof w:val="0"/>
          <w:rtl/>
        </w:rPr>
        <w:t xml:space="preserve">להקלה בעונשו של המשיב, </w:t>
      </w:r>
      <w:r>
        <w:rPr>
          <w:rFonts w:ascii="Calibri" w:eastAsia="Calibri" w:hAnsi="Calibri" w:cs="Arial" w:hint="cs"/>
          <w:noProof w:val="0"/>
          <w:rtl/>
        </w:rPr>
        <w:t xml:space="preserve">ולעמדתנו נימוקים אלה </w:t>
      </w:r>
      <w:r w:rsidR="002203FA" w:rsidRPr="002203FA">
        <w:rPr>
          <w:rFonts w:ascii="Calibri" w:eastAsia="Calibri" w:hAnsi="Calibri" w:cs="Arial"/>
          <w:noProof w:val="0"/>
          <w:rtl/>
        </w:rPr>
        <w:t xml:space="preserve">אינם אלא נימוקים מובהקים להחמרה בענישה. כך, למשל, הטענה בדבר הניסיונות הרבים של המשיב, לאורך השנים, להסדיר את מצבה המשפטי של אשתו, דווקא מעידים על ידיעתו הברורה כי לאישה אין אישור לשהייה בישראל; כי השלטונות אינם מעוניינים להתיר את שהייתה בישראל; וממילא, כי הלנתה בביתו אינה יכולה להיות חוקית. </w:t>
      </w:r>
    </w:p>
    <w:p w:rsidR="002203FA" w:rsidRPr="002203FA" w:rsidRDefault="00B71528" w:rsidP="004C6255">
      <w:pPr>
        <w:spacing w:after="160" w:line="360" w:lineRule="auto"/>
        <w:jc w:val="both"/>
        <w:rPr>
          <w:rFonts w:ascii="Calibri" w:eastAsia="Calibri" w:hAnsi="Calibri" w:cs="Arial"/>
          <w:noProof w:val="0"/>
          <w:rtl/>
        </w:rPr>
      </w:pPr>
      <w:r>
        <w:rPr>
          <w:rFonts w:ascii="Calibri" w:eastAsia="Calibri" w:hAnsi="Calibri" w:cs="Arial" w:hint="cs"/>
          <w:noProof w:val="0"/>
          <w:rtl/>
        </w:rPr>
        <w:t>יתרה מכך, טענתו של המשיב</w:t>
      </w:r>
      <w:r w:rsidR="002203FA" w:rsidRPr="002203FA">
        <w:rPr>
          <w:rFonts w:ascii="Calibri" w:eastAsia="Calibri" w:hAnsi="Calibri" w:cs="Arial"/>
          <w:noProof w:val="0"/>
          <w:rtl/>
        </w:rPr>
        <w:t xml:space="preserve"> כאילו לא הייתה כל בעיה לתושבי השטחים להיכנס לתחומי המדינה בעת שהאישה הגיעה לישראל, או כאילו </w:t>
      </w:r>
      <w:r w:rsidR="00A62F8D">
        <w:rPr>
          <w:rFonts w:ascii="Miriam" w:eastAsia="Calibri" w:hAnsi="Miriam" w:cs="Miriam"/>
          <w:b/>
          <w:bCs/>
          <w:noProof w:val="0"/>
          <w:rtl/>
        </w:rPr>
        <w:t>"לא היו גבולות"</w:t>
      </w:r>
      <w:r w:rsidR="00A62F8D" w:rsidRPr="00A62F8D">
        <w:rPr>
          <w:rFonts w:asciiTheme="minorBidi" w:eastAsia="Calibri" w:hAnsiTheme="minorBidi" w:cstheme="minorBidi"/>
          <w:noProof w:val="0"/>
          <w:rtl/>
        </w:rPr>
        <w:t xml:space="preserve"> ולא היה צורך בהיתרי כניסה, </w:t>
      </w:r>
      <w:r w:rsidR="002203FA" w:rsidRPr="002203FA">
        <w:rPr>
          <w:rFonts w:ascii="Calibri" w:eastAsia="Calibri" w:hAnsi="Calibri" w:cs="Arial"/>
          <w:noProof w:val="0"/>
          <w:rtl/>
        </w:rPr>
        <w:t>לא רק שהיא מ</w:t>
      </w:r>
      <w:r w:rsidR="00A62F8D">
        <w:rPr>
          <w:rFonts w:ascii="Calibri" w:eastAsia="Calibri" w:hAnsi="Calibri" w:cs="Arial" w:hint="cs"/>
          <w:noProof w:val="0"/>
          <w:rtl/>
        </w:rPr>
        <w:t>י</w:t>
      </w:r>
      <w:r w:rsidR="002203FA" w:rsidRPr="002203FA">
        <w:rPr>
          <w:rFonts w:ascii="Calibri" w:eastAsia="Calibri" w:hAnsi="Calibri" w:cs="Arial"/>
          <w:noProof w:val="0"/>
          <w:rtl/>
        </w:rPr>
        <w:t>תממת נוכח הניסיונות האמורים להסדרת המעמד של האישה, אלא שהיא גם לא נכונה עובדתית. לעניין זה די בעיון בחוק האזרחות והכניסה לישראל (הוראת שעה), תשפ"ב-2022, אשר החליף את החוק שנחקק לראשונה כחוק האזרחות והכניסה לישראל (הוראת שעה), תשס"ג-2003, ואשר מטרתו לבקר ולהגביל מתן אזרחות ישראלית או תושבות בישראל לתושבי יהודה ושומרון או רצועת עזה, גם כאשר מדובר בבני זוג של אזרחים ישראליים (</w:t>
      </w:r>
      <w:r w:rsidR="002203FA" w:rsidRPr="002203FA">
        <w:rPr>
          <w:rFonts w:ascii="Miriam" w:eastAsia="Calibri" w:hAnsi="Miriam" w:cs="Miriam"/>
          <w:b/>
          <w:bCs/>
          <w:noProof w:val="0"/>
          <w:rtl/>
        </w:rPr>
        <w:t>"מטרתו של חוק זה לקבוע הגבלות על אזרחות וישיבה בישראל של אזרחים או תושבים של מדינו</w:t>
      </w:r>
      <w:r w:rsidR="005304A1">
        <w:rPr>
          <w:rFonts w:ascii="Miriam" w:eastAsia="Calibri" w:hAnsi="Miriam" w:cs="Miriam"/>
          <w:b/>
          <w:bCs/>
          <w:noProof w:val="0"/>
          <w:rtl/>
        </w:rPr>
        <w:t>ת עוינות או של תושבי האזור, ולצ</w:t>
      </w:r>
      <w:r w:rsidR="002203FA" w:rsidRPr="002203FA">
        <w:rPr>
          <w:rFonts w:ascii="Miriam" w:eastAsia="Calibri" w:hAnsi="Miriam" w:cs="Miriam"/>
          <w:b/>
          <w:bCs/>
          <w:noProof w:val="0"/>
          <w:rtl/>
        </w:rPr>
        <w:t>דן הסדרים חריגים למתן רישיונות ישיבה או היתרי שהייה בישראל, והכול בשים לב להיותה של ישראל מדינה יהודית ודמוקרטית ובאופן שיבטיח את השמירה על אינטרסים החיוניים לביטחון הלאומי של המדינה"</w:t>
      </w:r>
      <w:r w:rsidR="002203FA" w:rsidRPr="002203FA">
        <w:rPr>
          <w:rFonts w:ascii="Calibri" w:eastAsia="Calibri" w:hAnsi="Calibri" w:cs="Arial"/>
          <w:noProof w:val="0"/>
          <w:rtl/>
        </w:rPr>
        <w:t>, סעיף 1 לחוק; וכן</w:t>
      </w:r>
      <w:r w:rsidR="004C6255">
        <w:rPr>
          <w:rFonts w:ascii="Calibri" w:eastAsia="Calibri" w:hAnsi="Calibri" w:cs="Arial" w:hint="cs"/>
          <w:noProof w:val="0"/>
          <w:rtl/>
        </w:rPr>
        <w:t>, מתן שיקול דעת לשר הפנים להיעתר לבקשות חריגות</w:t>
      </w:r>
      <w:r w:rsidR="002203FA" w:rsidRPr="002203FA">
        <w:rPr>
          <w:rFonts w:ascii="Calibri" w:eastAsia="Calibri" w:hAnsi="Calibri" w:cs="Arial"/>
          <w:noProof w:val="0"/>
          <w:rtl/>
        </w:rPr>
        <w:t xml:space="preserve">: </w:t>
      </w:r>
      <w:r w:rsidR="002203FA" w:rsidRPr="002203FA">
        <w:rPr>
          <w:rFonts w:ascii="Miriam" w:eastAsia="Calibri" w:hAnsi="Miriam" w:cs="Miriam"/>
          <w:b/>
          <w:bCs/>
          <w:noProof w:val="0"/>
          <w:rtl/>
        </w:rPr>
        <w:t>"...רשאי שר הפנים, לפי שיקול דעתו, לאשר בקשת תושב האזור למתן היתר לשהייה בישראל בידי מפקד האזור... לגבי תושבת האזור שגילה מעל 25 שנים – לשם מניעת הפרדתה מבן זוגה השוהה כדין בישראל..."</w:t>
      </w:r>
      <w:r w:rsidR="002203FA" w:rsidRPr="002203FA">
        <w:rPr>
          <w:rFonts w:ascii="Calibri" w:eastAsia="Calibri" w:hAnsi="Calibri" w:cs="Arial"/>
          <w:noProof w:val="0"/>
          <w:rtl/>
        </w:rPr>
        <w:t xml:space="preserve">, סעיף 4 לחוק; וכן: </w:t>
      </w:r>
      <w:r w:rsidR="002203FA" w:rsidRPr="002203FA">
        <w:rPr>
          <w:rFonts w:ascii="Miriam" w:eastAsia="Calibri" w:hAnsi="Miriam" w:cs="Miriam"/>
          <w:b/>
          <w:bCs/>
          <w:noProof w:val="0"/>
          <w:rtl/>
        </w:rPr>
        <w:t>"על אף הוראת סעיף 3, רשאי שר הפנים, לפי שיקול דעתו, לתת רישיון לישיבת ארעי בישראל לתושב האזור, שבן זוגו אזרח ישראלי או תושב ישראל, אם יש בידו היתר לשהייה בישראל מאת מפקד האזור והוא שוהה בישראל כדין מכוח אותו היתר, והתקיימו בו שני אלה"</w:t>
      </w:r>
      <w:r w:rsidR="002203FA" w:rsidRPr="002203FA">
        <w:rPr>
          <w:rFonts w:ascii="Calibri" w:eastAsia="Calibri" w:hAnsi="Calibri" w:cs="Arial"/>
          <w:noProof w:val="0"/>
          <w:rtl/>
        </w:rPr>
        <w:t>, סעיף 5 לחוק). החוק המקורי, שהוגדר כהוראת שעה,</w:t>
      </w:r>
      <w:r w:rsidR="002203FA" w:rsidRPr="002203FA">
        <w:rPr>
          <w:rFonts w:ascii="Calibri" w:eastAsia="Calibri" w:hAnsi="Calibri" w:cs="Arial" w:hint="cs"/>
          <w:noProof w:val="0"/>
        </w:rPr>
        <w:t xml:space="preserve"> </w:t>
      </w:r>
      <w:r w:rsidR="002203FA" w:rsidRPr="002203FA">
        <w:rPr>
          <w:rFonts w:ascii="Calibri" w:eastAsia="Calibri" w:hAnsi="Calibri" w:cs="Arial"/>
          <w:noProof w:val="0"/>
          <w:rtl/>
        </w:rPr>
        <w:t>אושר בכנסת ב-31 ביולי 2003 ופורסם בספר החוקים ב-6 באוגוסט 2003. תוקף החוק אמנם היה לשנה מיום פרסומו, אולם ניתנה לממשלה הסמכות להאריך תוקף זה בצו, באישור הכנסת, לתקופה שלא תעלה בכל פעם על שנה, ואכן החוק הוארך מעת לעת עד לחקיקתו מחדש, כהוראת שעה חדשה, בשנת 2022.</w:t>
      </w:r>
    </w:p>
    <w:p w:rsidR="002203FA" w:rsidRPr="002203FA" w:rsidRDefault="002203FA" w:rsidP="00080ABA">
      <w:pPr>
        <w:spacing w:after="160" w:line="360" w:lineRule="auto"/>
        <w:jc w:val="both"/>
        <w:rPr>
          <w:rFonts w:ascii="Calibri" w:eastAsia="Calibri" w:hAnsi="Calibri" w:cs="Arial"/>
          <w:noProof w:val="0"/>
          <w:rtl/>
        </w:rPr>
      </w:pPr>
      <w:r w:rsidRPr="002203FA">
        <w:rPr>
          <w:rFonts w:ascii="Calibri" w:eastAsia="Calibri" w:hAnsi="Calibri" w:cs="Arial"/>
          <w:noProof w:val="0"/>
          <w:rtl/>
        </w:rPr>
        <w:lastRenderedPageBreak/>
        <w:t xml:space="preserve">בדברי ההסבר להצעת החוק </w:t>
      </w:r>
      <w:r w:rsidR="00423F13">
        <w:rPr>
          <w:rFonts w:ascii="Calibri" w:eastAsia="Calibri" w:hAnsi="Calibri" w:cs="Arial" w:hint="cs"/>
          <w:noProof w:val="0"/>
          <w:rtl/>
        </w:rPr>
        <w:t>צוין</w:t>
      </w:r>
      <w:r w:rsidRPr="002203FA">
        <w:rPr>
          <w:rFonts w:ascii="Calibri" w:eastAsia="Calibri" w:hAnsi="Calibri" w:cs="Arial"/>
          <w:noProof w:val="0"/>
          <w:rtl/>
        </w:rPr>
        <w:t>, בין היתר, כי בעקרון מטר</w:t>
      </w:r>
      <w:r w:rsidR="00080ABA">
        <w:rPr>
          <w:rFonts w:ascii="Calibri" w:eastAsia="Calibri" w:hAnsi="Calibri" w:cs="Arial" w:hint="cs"/>
          <w:noProof w:val="0"/>
          <w:rtl/>
        </w:rPr>
        <w:t>ו</w:t>
      </w:r>
      <w:r w:rsidRPr="002203FA">
        <w:rPr>
          <w:rFonts w:ascii="Calibri" w:eastAsia="Calibri" w:hAnsi="Calibri" w:cs="Arial"/>
          <w:noProof w:val="0"/>
          <w:rtl/>
        </w:rPr>
        <w:t>ת החוק ה</w:t>
      </w:r>
      <w:r w:rsidR="00080ABA">
        <w:rPr>
          <w:rFonts w:ascii="Calibri" w:eastAsia="Calibri" w:hAnsi="Calibri" w:cs="Arial" w:hint="cs"/>
          <w:noProof w:val="0"/>
          <w:rtl/>
        </w:rPr>
        <w:t>ן</w:t>
      </w:r>
      <w:r w:rsidRPr="002203FA">
        <w:rPr>
          <w:rFonts w:ascii="Calibri" w:eastAsia="Calibri" w:hAnsi="Calibri" w:cs="Arial"/>
          <w:noProof w:val="0"/>
          <w:rtl/>
        </w:rPr>
        <w:t xml:space="preserve"> ביטחוני</w:t>
      </w:r>
      <w:r w:rsidR="00080ABA">
        <w:rPr>
          <w:rFonts w:ascii="Calibri" w:eastAsia="Calibri" w:hAnsi="Calibri" w:cs="Arial" w:hint="cs"/>
          <w:noProof w:val="0"/>
          <w:rtl/>
        </w:rPr>
        <w:t>ו</w:t>
      </w:r>
      <w:r w:rsidRPr="002203FA">
        <w:rPr>
          <w:rFonts w:ascii="Calibri" w:eastAsia="Calibri" w:hAnsi="Calibri" w:cs="Arial"/>
          <w:noProof w:val="0"/>
          <w:rtl/>
        </w:rPr>
        <w:t>ת ודמוגרפי</w:t>
      </w:r>
      <w:r w:rsidR="00080ABA">
        <w:rPr>
          <w:rFonts w:ascii="Calibri" w:eastAsia="Calibri" w:hAnsi="Calibri" w:cs="Arial" w:hint="cs"/>
          <w:noProof w:val="0"/>
          <w:rtl/>
        </w:rPr>
        <w:t>ו</w:t>
      </w:r>
      <w:r w:rsidRPr="002203FA">
        <w:rPr>
          <w:rFonts w:ascii="Calibri" w:eastAsia="Calibri" w:hAnsi="Calibri" w:cs="Arial"/>
          <w:noProof w:val="0"/>
          <w:rtl/>
        </w:rPr>
        <w:t>ת</w:t>
      </w:r>
      <w:r w:rsidR="00423F13">
        <w:rPr>
          <w:rFonts w:ascii="Calibri" w:eastAsia="Calibri" w:hAnsi="Calibri" w:cs="Arial" w:hint="cs"/>
          <w:noProof w:val="0"/>
          <w:rtl/>
        </w:rPr>
        <w:t>, כ</w:t>
      </w:r>
      <w:r w:rsidRPr="002203FA">
        <w:rPr>
          <w:rFonts w:ascii="Calibri" w:eastAsia="Calibri" w:hAnsi="Calibri" w:cs="Arial"/>
          <w:noProof w:val="0"/>
          <w:rtl/>
        </w:rPr>
        <w:t>כ</w:t>
      </w:r>
      <w:r w:rsidR="00423F13">
        <w:rPr>
          <w:rFonts w:ascii="Calibri" w:eastAsia="Calibri" w:hAnsi="Calibri" w:cs="Arial"/>
          <w:noProof w:val="0"/>
          <w:rtl/>
        </w:rPr>
        <w:t xml:space="preserve">לי לשמירת ביטחון </w:t>
      </w:r>
      <w:r w:rsidR="00423F13">
        <w:rPr>
          <w:rFonts w:ascii="Calibri" w:eastAsia="Calibri" w:hAnsi="Calibri" w:cs="Arial" w:hint="cs"/>
          <w:noProof w:val="0"/>
          <w:rtl/>
        </w:rPr>
        <w:t>ה</w:t>
      </w:r>
      <w:r w:rsidRPr="002203FA">
        <w:rPr>
          <w:rFonts w:ascii="Calibri" w:eastAsia="Calibri" w:hAnsi="Calibri" w:cs="Arial"/>
          <w:noProof w:val="0"/>
          <w:rtl/>
        </w:rPr>
        <w:t>מדינה מכניסתם של מפגעים מתאבדים וכן לשמירת אופייה היהודי והדמוקרטי של מדינת ישראל, על ידי הגבלת הגירה מיהודה, שומרון ועזה לתחומי המדינה</w:t>
      </w:r>
      <w:r w:rsidR="00423F13">
        <w:rPr>
          <w:rFonts w:ascii="Calibri" w:eastAsia="Calibri" w:hAnsi="Calibri" w:cs="Arial" w:hint="cs"/>
          <w:noProof w:val="0"/>
          <w:rtl/>
        </w:rPr>
        <w:t xml:space="preserve">. </w:t>
      </w:r>
      <w:r w:rsidR="00080ABA">
        <w:rPr>
          <w:rFonts w:ascii="Calibri" w:eastAsia="Calibri" w:hAnsi="Calibri" w:cs="Arial" w:hint="cs"/>
          <w:noProof w:val="0"/>
          <w:rtl/>
        </w:rPr>
        <w:t>עת</w:t>
      </w:r>
      <w:r w:rsidR="00423F13" w:rsidRPr="00423F13">
        <w:rPr>
          <w:rFonts w:ascii="Calibri" w:eastAsia="Calibri" w:hAnsi="Calibri" w:cs="Arial"/>
          <w:noProof w:val="0"/>
          <w:rtl/>
        </w:rPr>
        <w:t>ירות כנגד חוקיות החוק</w:t>
      </w:r>
      <w:r w:rsidR="00423F13">
        <w:rPr>
          <w:rFonts w:ascii="Calibri" w:eastAsia="Calibri" w:hAnsi="Calibri" w:cs="Arial" w:hint="cs"/>
          <w:noProof w:val="0"/>
          <w:rtl/>
        </w:rPr>
        <w:t>,</w:t>
      </w:r>
      <w:r w:rsidR="00423F13" w:rsidRPr="00423F13">
        <w:rPr>
          <w:rFonts w:ascii="Calibri" w:eastAsia="Calibri" w:hAnsi="Calibri" w:cs="Arial"/>
          <w:noProof w:val="0"/>
          <w:rtl/>
        </w:rPr>
        <w:t xml:space="preserve"> נדחו (בין היתר נפסק, כי אכן יש להכיר בקיומה של זכות חוקתית לחיי משפחה, אך זכות זו אינ</w:t>
      </w:r>
      <w:r w:rsidR="00423F13">
        <w:rPr>
          <w:rFonts w:ascii="Calibri" w:eastAsia="Calibri" w:hAnsi="Calibri" w:cs="Arial"/>
          <w:noProof w:val="0"/>
          <w:rtl/>
        </w:rPr>
        <w:t>נה מחו</w:t>
      </w:r>
      <w:r w:rsidR="00423F13" w:rsidRPr="00423F13">
        <w:rPr>
          <w:rFonts w:ascii="Calibri" w:eastAsia="Calibri" w:hAnsi="Calibri" w:cs="Arial"/>
          <w:noProof w:val="0"/>
          <w:rtl/>
        </w:rPr>
        <w:t>יבת להתממש דווקא במדינת ישראל).</w:t>
      </w:r>
      <w:r w:rsidR="00423F13">
        <w:rPr>
          <w:rFonts w:ascii="Calibri" w:eastAsia="Calibri" w:hAnsi="Calibri" w:cs="Arial" w:hint="cs"/>
          <w:noProof w:val="0"/>
          <w:rtl/>
        </w:rPr>
        <w:t xml:space="preserve"> וכך הובהר בדברי ההסבר להצעת החוק</w:t>
      </w:r>
      <w:r w:rsidRPr="002203FA">
        <w:rPr>
          <w:rFonts w:ascii="Calibri" w:eastAsia="Calibri" w:hAnsi="Calibri" w:cs="Arial"/>
          <w:noProof w:val="0"/>
          <w:rtl/>
        </w:rPr>
        <w:t>:</w:t>
      </w:r>
    </w:p>
    <w:p w:rsidR="002203FA" w:rsidRPr="002203FA" w:rsidRDefault="002203FA" w:rsidP="002203FA">
      <w:pPr>
        <w:spacing w:after="160"/>
        <w:ind w:left="720" w:right="567"/>
        <w:jc w:val="both"/>
        <w:rPr>
          <w:rFonts w:ascii="Calibri" w:eastAsia="Calibri" w:hAnsi="Calibri" w:cs="Arial"/>
          <w:noProof w:val="0"/>
          <w:rtl/>
        </w:rPr>
      </w:pPr>
      <w:r w:rsidRPr="002203FA">
        <w:rPr>
          <w:rFonts w:ascii="Miriam" w:eastAsia="Calibri" w:hAnsi="Miriam" w:cs="Miriam"/>
          <w:b/>
          <w:bCs/>
          <w:noProof w:val="0"/>
        </w:rPr>
        <w:t>"</w:t>
      </w:r>
      <w:r w:rsidRPr="002203FA">
        <w:rPr>
          <w:rFonts w:ascii="Miriam" w:eastAsia="Calibri" w:hAnsi="Miriam" w:cs="Miriam"/>
          <w:b/>
          <w:bCs/>
          <w:noProof w:val="0"/>
          <w:rtl/>
        </w:rPr>
        <w:t>מאז פרוץ העימות המזוין בין ישראל לפלסטינים אשר הוביל בין השאר לביצועם של עשרות פיגועי התאבדות בשטח ישראל, מסתמנת מעורבות גוברת והולכת בעימות זה של פלסטינים שהם במקור תושבי האזור, אשר נושאים תעודות זהות ישראליות בעקבות הליכי איחוד משפחות עם בעלי אזרחות או תושבות ישראלית, תוך ניצול מעמדם בישראל המאפשר להם תנועה חופשית בין שטחי הרשות לישראל</w:t>
      </w:r>
      <w:r w:rsidRPr="002203FA">
        <w:rPr>
          <w:rFonts w:ascii="Miriam" w:eastAsia="Calibri" w:hAnsi="Miriam" w:cs="Miriam"/>
          <w:b/>
          <w:bCs/>
          <w:noProof w:val="0"/>
        </w:rPr>
        <w:t>.</w:t>
      </w:r>
      <w:r w:rsidRPr="002203FA">
        <w:rPr>
          <w:rFonts w:ascii="Miriam" w:eastAsia="Calibri" w:hAnsi="Miriam" w:cs="Miriam"/>
          <w:b/>
          <w:bCs/>
          <w:noProof w:val="0"/>
          <w:rtl/>
        </w:rPr>
        <w:t>.. לפיכך, ובהתאם להחלטת הממשלה מס' 1813 מיום 12.5.2002 (להלן - החלטת הממשלה), מוצע להגביל את האפשרות להעניק לתושבי האזור אזרחות לפי חוק האזרחות, לרבות בדרך של איחוד משפחות, ואת האפשרות לתת לתושבים כאמור רישיונות לישיבה בישראל לפי חוק הכניסה לישראל</w:t>
      </w:r>
      <w:r w:rsidRPr="002203FA">
        <w:rPr>
          <w:rFonts w:ascii="Miriam" w:eastAsia="Calibri" w:hAnsi="Miriam" w:cs="Miriam"/>
          <w:b/>
          <w:bCs/>
          <w:noProof w:val="0"/>
        </w:rPr>
        <w:t> </w:t>
      </w:r>
      <w:r w:rsidRPr="002203FA">
        <w:rPr>
          <w:rFonts w:ascii="Miriam" w:eastAsia="Calibri" w:hAnsi="Miriam" w:cs="Miriam"/>
          <w:b/>
          <w:bCs/>
          <w:noProof w:val="0"/>
          <w:rtl/>
        </w:rPr>
        <w:t>או היתרי שהייה בישראל לפי תחיקת הביטחון באזור"</w:t>
      </w:r>
      <w:r w:rsidRPr="002203FA">
        <w:rPr>
          <w:rFonts w:ascii="Calibri" w:eastAsia="Calibri" w:hAnsi="Calibri" w:cs="Arial"/>
          <w:noProof w:val="0"/>
          <w:rtl/>
        </w:rPr>
        <w:t xml:space="preserve"> (הצעת חוק האזרחות והכניסה לישראל (הוראת שעה), תשס"ג-2003,</w:t>
      </w:r>
      <w:r w:rsidRPr="002203FA">
        <w:rPr>
          <w:rFonts w:ascii="Calibri" w:eastAsia="Calibri" w:hAnsi="Calibri" w:cs="Arial" w:hint="cs"/>
          <w:noProof w:val="0"/>
        </w:rPr>
        <w:t xml:space="preserve"> </w:t>
      </w:r>
      <w:r w:rsidRPr="002203FA">
        <w:rPr>
          <w:rFonts w:ascii="Calibri" w:eastAsia="Calibri" w:hAnsi="Calibri" w:cs="Arial"/>
          <w:noProof w:val="0"/>
          <w:rtl/>
        </w:rPr>
        <w:t>ה"ח הממשלה 31 מ-4 ביוני 2003).</w:t>
      </w:r>
    </w:p>
    <w:p w:rsidR="002203FA" w:rsidRPr="002203FA" w:rsidRDefault="002203FA" w:rsidP="002203FA">
      <w:pPr>
        <w:spacing w:after="160" w:line="360" w:lineRule="auto"/>
        <w:jc w:val="both"/>
        <w:rPr>
          <w:rFonts w:ascii="Calibri" w:eastAsia="Calibri" w:hAnsi="Calibri" w:cs="Arial"/>
          <w:noProof w:val="0"/>
          <w:rtl/>
        </w:rPr>
      </w:pPr>
    </w:p>
    <w:p w:rsidR="002203FA" w:rsidRPr="002203FA" w:rsidRDefault="002203FA" w:rsidP="00080ABA">
      <w:pPr>
        <w:spacing w:after="160" w:line="360" w:lineRule="auto"/>
        <w:jc w:val="both"/>
        <w:rPr>
          <w:rFonts w:ascii="Calibri" w:eastAsia="Calibri" w:hAnsi="Calibri" w:cs="Arial"/>
          <w:noProof w:val="0"/>
          <w:rtl/>
        </w:rPr>
      </w:pPr>
      <w:r w:rsidRPr="002203FA">
        <w:rPr>
          <w:rFonts w:ascii="Calibri" w:eastAsia="Calibri" w:hAnsi="Calibri" w:cs="Arial"/>
          <w:noProof w:val="0"/>
          <w:rtl/>
        </w:rPr>
        <w:t>זאת ועוד. הטענה כאילו למדינה אחריות, ולו חלקית, במצב המשפטי הסבוך אליו נקלע המשיב, נוכח כך שלא נתנה ל</w:t>
      </w:r>
      <w:r w:rsidR="00080ABA">
        <w:rPr>
          <w:rFonts w:ascii="Calibri" w:eastAsia="Calibri" w:hAnsi="Calibri" w:cs="Arial" w:hint="cs"/>
          <w:noProof w:val="0"/>
          <w:rtl/>
        </w:rPr>
        <w:t>תושבת השטחים</w:t>
      </w:r>
      <w:r w:rsidRPr="002203FA">
        <w:rPr>
          <w:rFonts w:ascii="Calibri" w:eastAsia="Calibri" w:hAnsi="Calibri" w:cs="Arial"/>
          <w:noProof w:val="0"/>
          <w:rtl/>
        </w:rPr>
        <w:t xml:space="preserve"> אישורי שהייה בישראל, אינה יכולה לעמוד. המשיב היה אמור לברר את היתכנות מתן האישורים לאישה טרם העמיד את המדינה בפני עובדה מוגמרת, ו</w:t>
      </w:r>
      <w:r w:rsidR="00423F13">
        <w:rPr>
          <w:rFonts w:ascii="Calibri" w:eastAsia="Calibri" w:hAnsi="Calibri" w:cs="Arial" w:hint="cs"/>
          <w:noProof w:val="0"/>
          <w:rtl/>
        </w:rPr>
        <w:t xml:space="preserve">לא </w:t>
      </w:r>
      <w:r w:rsidRPr="002203FA">
        <w:rPr>
          <w:rFonts w:ascii="Calibri" w:eastAsia="Calibri" w:hAnsi="Calibri" w:cs="Arial"/>
          <w:noProof w:val="0"/>
          <w:rtl/>
        </w:rPr>
        <w:t>לדרוש</w:t>
      </w:r>
      <w:r w:rsidR="00423F13">
        <w:rPr>
          <w:rFonts w:ascii="Calibri" w:eastAsia="Calibri" w:hAnsi="Calibri" w:cs="Arial" w:hint="cs"/>
          <w:noProof w:val="0"/>
          <w:rtl/>
        </w:rPr>
        <w:t>, לאחר מעשה,</w:t>
      </w:r>
      <w:r w:rsidRPr="002203FA">
        <w:rPr>
          <w:rFonts w:ascii="Calibri" w:eastAsia="Calibri" w:hAnsi="Calibri" w:cs="Arial"/>
          <w:noProof w:val="0"/>
          <w:rtl/>
        </w:rPr>
        <w:t xml:space="preserve"> ל</w:t>
      </w:r>
      <w:r w:rsidR="00423F13">
        <w:rPr>
          <w:rFonts w:ascii="Calibri" w:eastAsia="Calibri" w:hAnsi="Calibri" w:cs="Arial"/>
          <w:noProof w:val="0"/>
          <w:rtl/>
        </w:rPr>
        <w:t>יתן לה אישורי שהייה מכוח נישואי</w:t>
      </w:r>
      <w:r w:rsidR="00423F13">
        <w:rPr>
          <w:rFonts w:ascii="Calibri" w:eastAsia="Calibri" w:hAnsi="Calibri" w:cs="Arial" w:hint="cs"/>
          <w:noProof w:val="0"/>
          <w:rtl/>
        </w:rPr>
        <w:t>ה לו.</w:t>
      </w:r>
      <w:r w:rsidRPr="002203FA">
        <w:rPr>
          <w:rFonts w:ascii="Calibri" w:eastAsia="Calibri" w:hAnsi="Calibri" w:cs="Arial"/>
          <w:noProof w:val="0"/>
          <w:rtl/>
        </w:rPr>
        <w:t xml:space="preserve"> למדינה שיקולים משלה להנפיק אישורי שהייה בישראל; היא הריבונית להחליט בעניינים אלה</w:t>
      </w:r>
      <w:r w:rsidR="00423F13">
        <w:rPr>
          <w:rFonts w:ascii="Calibri" w:eastAsia="Calibri" w:hAnsi="Calibri" w:cs="Arial" w:hint="cs"/>
          <w:noProof w:val="0"/>
          <w:rtl/>
        </w:rPr>
        <w:t>,</w:t>
      </w:r>
      <w:r w:rsidRPr="002203FA">
        <w:rPr>
          <w:rFonts w:ascii="Calibri" w:eastAsia="Calibri" w:hAnsi="Calibri" w:cs="Arial"/>
          <w:noProof w:val="0"/>
          <w:rtl/>
        </w:rPr>
        <w:t xml:space="preserve"> ועד כה, למרות הניסיונות </w:t>
      </w:r>
      <w:r w:rsidR="00080ABA">
        <w:rPr>
          <w:rFonts w:ascii="Calibri" w:eastAsia="Calibri" w:hAnsi="Calibri" w:cs="Arial" w:hint="cs"/>
          <w:noProof w:val="0"/>
          <w:rtl/>
        </w:rPr>
        <w:t xml:space="preserve">של המשיב </w:t>
      </w:r>
      <w:r w:rsidRPr="002203FA">
        <w:rPr>
          <w:rFonts w:ascii="Calibri" w:eastAsia="Calibri" w:hAnsi="Calibri" w:cs="Arial"/>
          <w:noProof w:val="0"/>
          <w:rtl/>
        </w:rPr>
        <w:t>והפניות המרוב</w:t>
      </w:r>
      <w:r w:rsidR="00080ABA">
        <w:rPr>
          <w:rFonts w:ascii="Calibri" w:eastAsia="Calibri" w:hAnsi="Calibri" w:cs="Arial" w:hint="cs"/>
          <w:noProof w:val="0"/>
          <w:rtl/>
        </w:rPr>
        <w:t>ות</w:t>
      </w:r>
      <w:r w:rsidRPr="002203FA">
        <w:rPr>
          <w:rFonts w:ascii="Calibri" w:eastAsia="Calibri" w:hAnsi="Calibri" w:cs="Arial"/>
          <w:noProof w:val="0"/>
          <w:rtl/>
        </w:rPr>
        <w:t xml:space="preserve"> לרשויות השונות, לא נמצא כי אי </w:t>
      </w:r>
      <w:r w:rsidR="00080ABA">
        <w:rPr>
          <w:rFonts w:ascii="Calibri" w:eastAsia="Calibri" w:hAnsi="Calibri" w:cs="Arial" w:hint="cs"/>
          <w:noProof w:val="0"/>
          <w:rtl/>
        </w:rPr>
        <w:t>מתן</w:t>
      </w:r>
      <w:r w:rsidRPr="002203FA">
        <w:rPr>
          <w:rFonts w:ascii="Calibri" w:eastAsia="Calibri" w:hAnsi="Calibri" w:cs="Arial"/>
          <w:noProof w:val="0"/>
          <w:rtl/>
        </w:rPr>
        <w:t xml:space="preserve"> אישור השהייה בישראל ל</w:t>
      </w:r>
      <w:r w:rsidR="00080ABA">
        <w:rPr>
          <w:rFonts w:ascii="Calibri" w:eastAsia="Calibri" w:hAnsi="Calibri" w:cs="Arial" w:hint="cs"/>
          <w:noProof w:val="0"/>
          <w:rtl/>
        </w:rPr>
        <w:t>תושבת השטחים, השוהה בישראל שנים רבות שלא כחוק</w:t>
      </w:r>
      <w:r w:rsidRPr="002203FA">
        <w:rPr>
          <w:rFonts w:ascii="Calibri" w:eastAsia="Calibri" w:hAnsi="Calibri" w:cs="Arial"/>
          <w:noProof w:val="0"/>
          <w:rtl/>
        </w:rPr>
        <w:t xml:space="preserve">, לא נעשה כדין. </w:t>
      </w:r>
    </w:p>
    <w:p w:rsidR="002203FA" w:rsidRPr="002203FA" w:rsidRDefault="002203FA" w:rsidP="00ED0CEB">
      <w:pPr>
        <w:spacing w:after="160" w:line="360" w:lineRule="auto"/>
        <w:jc w:val="both"/>
        <w:rPr>
          <w:rFonts w:ascii="Calibri" w:eastAsia="Calibri" w:hAnsi="Calibri" w:cs="Arial"/>
          <w:noProof w:val="0"/>
          <w:rtl/>
        </w:rPr>
      </w:pPr>
      <w:r w:rsidRPr="002203FA">
        <w:rPr>
          <w:rFonts w:ascii="Calibri" w:eastAsia="Calibri" w:hAnsi="Calibri" w:cs="Arial"/>
          <w:noProof w:val="0"/>
          <w:rtl/>
        </w:rPr>
        <w:t xml:space="preserve">לעניין זה נציין, ולו כהערת </w:t>
      </w:r>
      <w:r w:rsidR="00080ABA">
        <w:rPr>
          <w:rFonts w:ascii="Calibri" w:eastAsia="Calibri" w:hAnsi="Calibri" w:cs="Arial" w:hint="cs"/>
          <w:noProof w:val="0"/>
          <w:rtl/>
        </w:rPr>
        <w:t>ומעבר לנדרש</w:t>
      </w:r>
      <w:r w:rsidRPr="002203FA">
        <w:rPr>
          <w:rFonts w:ascii="Calibri" w:eastAsia="Calibri" w:hAnsi="Calibri" w:cs="Arial"/>
          <w:noProof w:val="0"/>
          <w:rtl/>
        </w:rPr>
        <w:t xml:space="preserve">, כי במהלך הדיון ציינה באת כוח המערערת, כי בין ההנמקות שלא לתת אישור שהייה לאשת המשיב נמצא גם הנימוק של אי רצון מטעם המדינה לעודד ריבוי נישואים. ואכן, בפסק דין שניתן </w:t>
      </w:r>
      <w:r w:rsidR="00ED0CEB">
        <w:rPr>
          <w:rFonts w:ascii="Calibri" w:eastAsia="Calibri" w:hAnsi="Calibri" w:cs="Arial" w:hint="cs"/>
          <w:noProof w:val="0"/>
          <w:rtl/>
        </w:rPr>
        <w:t>על ידינו</w:t>
      </w:r>
      <w:r w:rsidRPr="002203FA">
        <w:rPr>
          <w:rFonts w:ascii="Calibri" w:eastAsia="Calibri" w:hAnsi="Calibri" w:cs="Arial"/>
          <w:noProof w:val="0"/>
          <w:rtl/>
        </w:rPr>
        <w:t xml:space="preserve"> (בע"פ 26408-04-19, </w:t>
      </w:r>
      <w:r w:rsidRPr="002203FA">
        <w:rPr>
          <w:rFonts w:ascii="Calibri" w:eastAsia="Calibri" w:hAnsi="Calibri" w:cs="Arial"/>
          <w:b/>
          <w:bCs/>
          <w:noProof w:val="0"/>
          <w:rtl/>
        </w:rPr>
        <w:t>מדינת ישראל נ' אבו סקיק</w:t>
      </w:r>
      <w:r w:rsidRPr="002203FA">
        <w:rPr>
          <w:rFonts w:ascii="Calibri" w:eastAsia="Calibri" w:hAnsi="Calibri" w:cs="Arial"/>
          <w:noProof w:val="0"/>
          <w:rtl/>
        </w:rPr>
        <w:t>, מיום 19.09.19) צוין, בין היתר, כי בשנת 2017 חל מפנה במדיניות התביעה בכל הנוגע להעמדה לדין בגין עבירת ריבוי הנישואין (</w:t>
      </w:r>
      <w:r w:rsidR="00ED0CEB">
        <w:rPr>
          <w:rFonts w:ascii="Calibri" w:eastAsia="Calibri" w:hAnsi="Calibri" w:cs="Arial" w:hint="cs"/>
          <w:noProof w:val="0"/>
          <w:rtl/>
        </w:rPr>
        <w:t xml:space="preserve">זאת </w:t>
      </w:r>
      <w:r w:rsidRPr="002203FA">
        <w:rPr>
          <w:rFonts w:ascii="Calibri" w:eastAsia="Calibri" w:hAnsi="Calibri" w:cs="Arial"/>
          <w:noProof w:val="0"/>
          <w:rtl/>
        </w:rPr>
        <w:t xml:space="preserve">בעקבות החלטת ממשלה מספר 2345 מיום 29.01.2017 והדו"ח שהוכן </w:t>
      </w:r>
      <w:r w:rsidR="00ED0CEB">
        <w:rPr>
          <w:rFonts w:ascii="Calibri" w:eastAsia="Calibri" w:hAnsi="Calibri" w:cs="Arial" w:hint="cs"/>
          <w:noProof w:val="0"/>
          <w:rtl/>
        </w:rPr>
        <w:t>בעקבותיה</w:t>
      </w:r>
      <w:r w:rsidRPr="002203FA">
        <w:rPr>
          <w:rFonts w:ascii="Calibri" w:eastAsia="Calibri" w:hAnsi="Calibri" w:cs="Arial"/>
          <w:noProof w:val="0"/>
          <w:rtl/>
        </w:rPr>
        <w:t xml:space="preserve"> על ידי הצוות הבין-משרדי בנושא ה</w:t>
      </w:r>
      <w:r w:rsidR="00ED0CEB">
        <w:rPr>
          <w:rFonts w:ascii="Calibri" w:eastAsia="Calibri" w:hAnsi="Calibri" w:cs="Arial" w:hint="cs"/>
          <w:noProof w:val="0"/>
          <w:rtl/>
        </w:rPr>
        <w:t>ה</w:t>
      </w:r>
      <w:r w:rsidRPr="002203FA">
        <w:rPr>
          <w:rFonts w:ascii="Calibri" w:eastAsia="Calibri" w:hAnsi="Calibri" w:cs="Arial"/>
          <w:noProof w:val="0"/>
          <w:rtl/>
        </w:rPr>
        <w:t xml:space="preserve">תמודדות עם השלכותיה השליליות של הפוליגמיה), עת הוחלט שלא להכיל עוד את הפגיעה הקשה </w:t>
      </w:r>
      <w:r w:rsidRPr="002203FA">
        <w:rPr>
          <w:rFonts w:ascii="Calibri" w:eastAsia="Calibri" w:hAnsi="Calibri" w:cs="Arial"/>
          <w:noProof w:val="0"/>
          <w:rtl/>
        </w:rPr>
        <w:lastRenderedPageBreak/>
        <w:t xml:space="preserve">בנשים, בעיקר בנגב ובעיקר במגזר הבדואי, בשל ריבוי נישואין. </w:t>
      </w:r>
      <w:r w:rsidR="00ED0CEB">
        <w:rPr>
          <w:rFonts w:ascii="Calibri" w:eastAsia="Calibri" w:hAnsi="Calibri" w:cs="Arial" w:hint="cs"/>
          <w:noProof w:val="0"/>
          <w:rtl/>
        </w:rPr>
        <w:t>היועמ"ש הוציא הנחיה בנוגע לשינוי מדיניות האכיפה הפלילית בעבירות ריבוי נישואין, ובין היתר צוין בהנחיה זו (</w:t>
      </w:r>
      <w:r w:rsidR="00ED0CEB">
        <w:rPr>
          <w:rFonts w:ascii="Calibri" w:eastAsia="Calibri" w:hAnsi="Calibri" w:cs="Arial"/>
          <w:noProof w:val="0"/>
          <w:rtl/>
        </w:rPr>
        <w:t>הנחית היועמ"ש 4.1112</w:t>
      </w:r>
      <w:r w:rsidR="00ED0CEB">
        <w:rPr>
          <w:rFonts w:ascii="Calibri" w:eastAsia="Calibri" w:hAnsi="Calibri" w:cs="Arial" w:hint="cs"/>
          <w:noProof w:val="0"/>
          <w:rtl/>
        </w:rPr>
        <w:t xml:space="preserve">, </w:t>
      </w:r>
      <w:r w:rsidRPr="002203FA">
        <w:rPr>
          <w:rFonts w:ascii="Calibri" w:eastAsia="Calibri" w:hAnsi="Calibri" w:cs="Arial"/>
          <w:noProof w:val="0"/>
          <w:rtl/>
        </w:rPr>
        <w:t>מיום 23.01.2017):</w:t>
      </w:r>
    </w:p>
    <w:p w:rsidR="002203FA" w:rsidRPr="002203FA" w:rsidRDefault="002203FA" w:rsidP="002203FA">
      <w:pPr>
        <w:autoSpaceDE w:val="0"/>
        <w:autoSpaceDN w:val="0"/>
        <w:adjustRightInd w:val="0"/>
        <w:spacing w:after="160" w:line="256" w:lineRule="auto"/>
        <w:ind w:left="720" w:right="426"/>
        <w:jc w:val="both"/>
        <w:rPr>
          <w:rFonts w:ascii="Arial" w:eastAsia="Calibri" w:hAnsi="Arial" w:cs="Arial"/>
          <w:noProof w:val="0"/>
          <w:rtl/>
        </w:rPr>
      </w:pPr>
      <w:r w:rsidRPr="002203FA">
        <w:rPr>
          <w:rFonts w:ascii="Miriam" w:eastAsia="Calibri" w:hAnsi="Miriam" w:cs="Miriam"/>
          <w:b/>
          <w:bCs/>
          <w:noProof w:val="0"/>
          <w:rtl/>
        </w:rPr>
        <w:t>"תופעת</w:t>
      </w:r>
      <w:r w:rsidRPr="002203FA">
        <w:rPr>
          <w:rFonts w:ascii="Miriam" w:eastAsia="Calibri" w:hAnsi="Miriam" w:cs="Miriam"/>
          <w:b/>
          <w:bCs/>
          <w:noProof w:val="0"/>
        </w:rPr>
        <w:t xml:space="preserve"> </w:t>
      </w:r>
      <w:r w:rsidRPr="002203FA">
        <w:rPr>
          <w:rFonts w:ascii="Miriam" w:eastAsia="Calibri" w:hAnsi="Miriam" w:cs="Miriam"/>
          <w:b/>
          <w:bCs/>
          <w:noProof w:val="0"/>
          <w:rtl/>
        </w:rPr>
        <w:t>ריבוי</w:t>
      </w:r>
      <w:r w:rsidRPr="002203FA">
        <w:rPr>
          <w:rFonts w:ascii="Miriam" w:eastAsia="Calibri" w:hAnsi="Miriam" w:cs="Miriam"/>
          <w:b/>
          <w:bCs/>
          <w:noProof w:val="0"/>
        </w:rPr>
        <w:t xml:space="preserve"> </w:t>
      </w:r>
      <w:r w:rsidRPr="002203FA">
        <w:rPr>
          <w:rFonts w:ascii="Miriam" w:eastAsia="Calibri" w:hAnsi="Miriam" w:cs="Miriam"/>
          <w:b/>
          <w:bCs/>
          <w:noProof w:val="0"/>
          <w:rtl/>
        </w:rPr>
        <w:t>הנישואין</w:t>
      </w:r>
      <w:r w:rsidRPr="002203FA">
        <w:rPr>
          <w:rFonts w:ascii="Miriam" w:eastAsia="Calibri" w:hAnsi="Miriam" w:cs="Miriam"/>
          <w:b/>
          <w:bCs/>
          <w:noProof w:val="0"/>
        </w:rPr>
        <w:t xml:space="preserve"> </w:t>
      </w:r>
      <w:r w:rsidRPr="002203FA">
        <w:rPr>
          <w:rFonts w:ascii="Miriam" w:eastAsia="Calibri" w:hAnsi="Miriam" w:cs="Miriam"/>
          <w:b/>
          <w:bCs/>
          <w:noProof w:val="0"/>
          <w:rtl/>
        </w:rPr>
        <w:t>היא</w:t>
      </w:r>
      <w:r w:rsidRPr="002203FA">
        <w:rPr>
          <w:rFonts w:ascii="Miriam" w:eastAsia="Calibri" w:hAnsi="Miriam" w:cs="Miriam"/>
          <w:b/>
          <w:bCs/>
          <w:noProof w:val="0"/>
        </w:rPr>
        <w:t xml:space="preserve"> </w:t>
      </w:r>
      <w:r w:rsidRPr="002203FA">
        <w:rPr>
          <w:rFonts w:ascii="Miriam" w:eastAsia="Calibri" w:hAnsi="Miriam" w:cs="Miriam"/>
          <w:b/>
          <w:bCs/>
          <w:noProof w:val="0"/>
          <w:rtl/>
        </w:rPr>
        <w:t>תופעה</w:t>
      </w:r>
      <w:r w:rsidRPr="002203FA">
        <w:rPr>
          <w:rFonts w:ascii="Miriam" w:eastAsia="Calibri" w:hAnsi="Miriam" w:cs="Miriam"/>
          <w:b/>
          <w:bCs/>
          <w:noProof w:val="0"/>
        </w:rPr>
        <w:t xml:space="preserve"> </w:t>
      </w:r>
      <w:r w:rsidRPr="002203FA">
        <w:rPr>
          <w:rFonts w:ascii="Miriam" w:eastAsia="Calibri" w:hAnsi="Miriam" w:cs="Miriam"/>
          <w:b/>
          <w:bCs/>
          <w:noProof w:val="0"/>
          <w:rtl/>
        </w:rPr>
        <w:t>חברתית</w:t>
      </w:r>
      <w:r w:rsidRPr="002203FA">
        <w:rPr>
          <w:rFonts w:ascii="Miriam" w:eastAsia="Calibri" w:hAnsi="Miriam" w:cs="Miriam"/>
          <w:b/>
          <w:bCs/>
          <w:noProof w:val="0"/>
        </w:rPr>
        <w:t xml:space="preserve"> </w:t>
      </w:r>
      <w:r w:rsidRPr="002203FA">
        <w:rPr>
          <w:rFonts w:ascii="Miriam" w:eastAsia="Calibri" w:hAnsi="Miriam" w:cs="Miriam"/>
          <w:b/>
          <w:bCs/>
          <w:noProof w:val="0"/>
          <w:rtl/>
        </w:rPr>
        <w:t>קשה</w:t>
      </w:r>
      <w:r w:rsidRPr="002203FA">
        <w:rPr>
          <w:rFonts w:ascii="Miriam" w:eastAsia="Calibri" w:hAnsi="Miriam" w:cs="Miriam"/>
          <w:b/>
          <w:bCs/>
          <w:noProof w:val="0"/>
        </w:rPr>
        <w:t xml:space="preserve"> </w:t>
      </w:r>
      <w:r w:rsidRPr="002203FA">
        <w:rPr>
          <w:rFonts w:ascii="Miriam" w:eastAsia="Calibri" w:hAnsi="Miriam" w:cs="Miriam"/>
          <w:b/>
          <w:bCs/>
          <w:noProof w:val="0"/>
          <w:rtl/>
        </w:rPr>
        <w:t>בעלת</w:t>
      </w:r>
      <w:r w:rsidRPr="002203FA">
        <w:rPr>
          <w:rFonts w:ascii="Miriam" w:eastAsia="Calibri" w:hAnsi="Miriam" w:cs="Miriam"/>
          <w:b/>
          <w:bCs/>
          <w:noProof w:val="0"/>
        </w:rPr>
        <w:t xml:space="preserve"> </w:t>
      </w:r>
      <w:r w:rsidRPr="002203FA">
        <w:rPr>
          <w:rFonts w:ascii="Miriam" w:eastAsia="Calibri" w:hAnsi="Miriam" w:cs="Miriam"/>
          <w:b/>
          <w:bCs/>
          <w:noProof w:val="0"/>
          <w:rtl/>
        </w:rPr>
        <w:t>השלכות</w:t>
      </w:r>
      <w:r w:rsidRPr="002203FA">
        <w:rPr>
          <w:rFonts w:ascii="Miriam" w:eastAsia="Calibri" w:hAnsi="Miriam" w:cs="Miriam"/>
          <w:b/>
          <w:bCs/>
          <w:noProof w:val="0"/>
        </w:rPr>
        <w:t xml:space="preserve"> </w:t>
      </w:r>
      <w:r w:rsidRPr="002203FA">
        <w:rPr>
          <w:rFonts w:ascii="Miriam" w:eastAsia="Calibri" w:hAnsi="Miriam" w:cs="Miriam"/>
          <w:b/>
          <w:bCs/>
          <w:noProof w:val="0"/>
          <w:rtl/>
        </w:rPr>
        <w:t>פוגעניות</w:t>
      </w:r>
      <w:r w:rsidRPr="002203FA">
        <w:rPr>
          <w:rFonts w:ascii="Miriam" w:eastAsia="Calibri" w:hAnsi="Miriam" w:cs="Miriam"/>
          <w:b/>
          <w:bCs/>
          <w:noProof w:val="0"/>
        </w:rPr>
        <w:t xml:space="preserve"> </w:t>
      </w:r>
      <w:r w:rsidRPr="002203FA">
        <w:rPr>
          <w:rFonts w:ascii="Miriam" w:eastAsia="Calibri" w:hAnsi="Miriam" w:cs="Miriam"/>
          <w:b/>
          <w:bCs/>
          <w:noProof w:val="0"/>
          <w:rtl/>
        </w:rPr>
        <w:t>על</w:t>
      </w:r>
      <w:r w:rsidRPr="002203FA">
        <w:rPr>
          <w:rFonts w:ascii="Miriam" w:eastAsia="Calibri" w:hAnsi="Miriam" w:cs="Miriam"/>
          <w:b/>
          <w:bCs/>
          <w:noProof w:val="0"/>
        </w:rPr>
        <w:t xml:space="preserve"> </w:t>
      </w:r>
      <w:r w:rsidRPr="002203FA">
        <w:rPr>
          <w:rFonts w:ascii="Miriam" w:eastAsia="Calibri" w:hAnsi="Miriam" w:cs="Miriam"/>
          <w:b/>
          <w:bCs/>
          <w:noProof w:val="0"/>
          <w:rtl/>
        </w:rPr>
        <w:t>הנשים</w:t>
      </w:r>
      <w:r w:rsidRPr="002203FA">
        <w:rPr>
          <w:rFonts w:ascii="Miriam" w:eastAsia="Calibri" w:hAnsi="Miriam" w:cs="Miriam"/>
          <w:b/>
          <w:bCs/>
          <w:noProof w:val="0"/>
        </w:rPr>
        <w:t xml:space="preserve"> </w:t>
      </w:r>
      <w:r w:rsidRPr="002203FA">
        <w:rPr>
          <w:rFonts w:ascii="Miriam" w:eastAsia="Calibri" w:hAnsi="Miriam" w:cs="Miriam"/>
          <w:b/>
          <w:bCs/>
          <w:noProof w:val="0"/>
          <w:rtl/>
        </w:rPr>
        <w:t>ועל ילדיהן</w:t>
      </w:r>
      <w:r w:rsidRPr="002203FA">
        <w:rPr>
          <w:rFonts w:ascii="Miriam" w:eastAsia="Calibri" w:hAnsi="Miriam" w:cs="Miriam"/>
          <w:b/>
          <w:bCs/>
          <w:noProof w:val="0"/>
        </w:rPr>
        <w:t xml:space="preserve"> </w:t>
      </w:r>
      <w:r w:rsidRPr="002203FA">
        <w:rPr>
          <w:rFonts w:ascii="Miriam" w:eastAsia="Calibri" w:hAnsi="Miriam" w:cs="Miriam"/>
          <w:b/>
          <w:bCs/>
          <w:noProof w:val="0"/>
          <w:rtl/>
        </w:rPr>
        <w:t>בנישואין</w:t>
      </w:r>
      <w:r w:rsidRPr="002203FA">
        <w:rPr>
          <w:rFonts w:ascii="Miriam" w:eastAsia="Calibri" w:hAnsi="Miriam" w:cs="Miriam"/>
          <w:b/>
          <w:bCs/>
          <w:noProof w:val="0"/>
        </w:rPr>
        <w:t xml:space="preserve"> </w:t>
      </w:r>
      <w:r w:rsidRPr="002203FA">
        <w:rPr>
          <w:rFonts w:ascii="Miriam" w:eastAsia="Calibri" w:hAnsi="Miriam" w:cs="Miriam"/>
          <w:b/>
          <w:bCs/>
          <w:noProof w:val="0"/>
          <w:rtl/>
        </w:rPr>
        <w:t>אלו, ואף</w:t>
      </w:r>
      <w:r w:rsidRPr="002203FA">
        <w:rPr>
          <w:rFonts w:ascii="Miriam" w:eastAsia="Calibri" w:hAnsi="Miriam" w:cs="Miriam"/>
          <w:b/>
          <w:bCs/>
          <w:noProof w:val="0"/>
        </w:rPr>
        <w:t xml:space="preserve"> </w:t>
      </w:r>
      <w:r w:rsidRPr="002203FA">
        <w:rPr>
          <w:rFonts w:ascii="Miriam" w:eastAsia="Calibri" w:hAnsi="Miriam" w:cs="Miriam"/>
          <w:b/>
          <w:bCs/>
          <w:noProof w:val="0"/>
          <w:rtl/>
        </w:rPr>
        <w:t>מביאה</w:t>
      </w:r>
      <w:r w:rsidRPr="002203FA">
        <w:rPr>
          <w:rFonts w:ascii="Miriam" w:eastAsia="Calibri" w:hAnsi="Miriam" w:cs="Miriam"/>
          <w:b/>
          <w:bCs/>
          <w:noProof w:val="0"/>
        </w:rPr>
        <w:t xml:space="preserve"> </w:t>
      </w:r>
      <w:r w:rsidRPr="002203FA">
        <w:rPr>
          <w:rFonts w:ascii="Miriam" w:eastAsia="Calibri" w:hAnsi="Miriam" w:cs="Miriam"/>
          <w:b/>
          <w:bCs/>
          <w:noProof w:val="0"/>
          <w:rtl/>
        </w:rPr>
        <w:t>לפגיעה</w:t>
      </w:r>
      <w:r w:rsidRPr="002203FA">
        <w:rPr>
          <w:rFonts w:ascii="Miriam" w:eastAsia="Calibri" w:hAnsi="Miriam" w:cs="Miriam"/>
          <w:b/>
          <w:bCs/>
          <w:noProof w:val="0"/>
        </w:rPr>
        <w:t xml:space="preserve"> </w:t>
      </w:r>
      <w:r w:rsidRPr="002203FA">
        <w:rPr>
          <w:rFonts w:ascii="Miriam" w:eastAsia="Calibri" w:hAnsi="Miriam" w:cs="Miriam"/>
          <w:b/>
          <w:bCs/>
          <w:noProof w:val="0"/>
          <w:rtl/>
        </w:rPr>
        <w:t>רוחבית</w:t>
      </w:r>
      <w:r w:rsidRPr="002203FA">
        <w:rPr>
          <w:rFonts w:ascii="Miriam" w:eastAsia="Calibri" w:hAnsi="Miriam" w:cs="Miriam"/>
          <w:b/>
          <w:bCs/>
          <w:noProof w:val="0"/>
        </w:rPr>
        <w:t xml:space="preserve"> </w:t>
      </w:r>
      <w:r w:rsidRPr="002203FA">
        <w:rPr>
          <w:rFonts w:ascii="Miriam" w:eastAsia="Calibri" w:hAnsi="Miriam" w:cs="Miriam"/>
          <w:b/>
          <w:bCs/>
          <w:noProof w:val="0"/>
          <w:rtl/>
        </w:rPr>
        <w:t>במעמד</w:t>
      </w:r>
      <w:r w:rsidRPr="002203FA">
        <w:rPr>
          <w:rFonts w:ascii="Miriam" w:eastAsia="Calibri" w:hAnsi="Miriam" w:cs="Miriam"/>
          <w:b/>
          <w:bCs/>
          <w:noProof w:val="0"/>
        </w:rPr>
        <w:t xml:space="preserve"> </w:t>
      </w:r>
      <w:r w:rsidRPr="002203FA">
        <w:rPr>
          <w:rFonts w:ascii="Miriam" w:eastAsia="Calibri" w:hAnsi="Miriam" w:cs="Miriam"/>
          <w:b/>
          <w:bCs/>
          <w:noProof w:val="0"/>
          <w:rtl/>
        </w:rPr>
        <w:t>האישה</w:t>
      </w:r>
      <w:r w:rsidRPr="002203FA">
        <w:rPr>
          <w:rFonts w:ascii="Miriam" w:eastAsia="Calibri" w:hAnsi="Miriam" w:cs="Miriam"/>
          <w:b/>
          <w:bCs/>
          <w:noProof w:val="0"/>
        </w:rPr>
        <w:t xml:space="preserve"> </w:t>
      </w:r>
      <w:r w:rsidRPr="002203FA">
        <w:rPr>
          <w:rFonts w:ascii="Miriam" w:eastAsia="Calibri" w:hAnsi="Miriam" w:cs="Miriam"/>
          <w:b/>
          <w:bCs/>
          <w:noProof w:val="0"/>
          <w:rtl/>
        </w:rPr>
        <w:t>בחברות</w:t>
      </w:r>
      <w:r w:rsidRPr="002203FA">
        <w:rPr>
          <w:rFonts w:ascii="Miriam" w:eastAsia="Calibri" w:hAnsi="Miriam" w:cs="Miriam"/>
          <w:b/>
          <w:bCs/>
          <w:noProof w:val="0"/>
        </w:rPr>
        <w:t xml:space="preserve"> </w:t>
      </w:r>
      <w:r w:rsidRPr="002203FA">
        <w:rPr>
          <w:rFonts w:ascii="Miriam" w:eastAsia="Calibri" w:hAnsi="Miriam" w:cs="Miriam"/>
          <w:b/>
          <w:bCs/>
          <w:noProof w:val="0"/>
          <w:rtl/>
        </w:rPr>
        <w:t>בהן</w:t>
      </w:r>
      <w:r w:rsidRPr="002203FA">
        <w:rPr>
          <w:rFonts w:ascii="Miriam" w:eastAsia="Calibri" w:hAnsi="Miriam" w:cs="Miriam"/>
          <w:b/>
          <w:bCs/>
          <w:noProof w:val="0"/>
        </w:rPr>
        <w:t xml:space="preserve"> </w:t>
      </w:r>
      <w:r w:rsidRPr="002203FA">
        <w:rPr>
          <w:rFonts w:ascii="Miriam" w:eastAsia="Calibri" w:hAnsi="Miriam" w:cs="Miriam"/>
          <w:b/>
          <w:bCs/>
          <w:noProof w:val="0"/>
          <w:rtl/>
        </w:rPr>
        <w:t>נישואין</w:t>
      </w:r>
      <w:r w:rsidRPr="002203FA">
        <w:rPr>
          <w:rFonts w:ascii="Miriam" w:eastAsia="Calibri" w:hAnsi="Miriam" w:cs="Miriam"/>
          <w:b/>
          <w:bCs/>
          <w:noProof w:val="0"/>
        </w:rPr>
        <w:t xml:space="preserve"> </w:t>
      </w:r>
      <w:r w:rsidRPr="002203FA">
        <w:rPr>
          <w:rFonts w:ascii="Miriam" w:eastAsia="Calibri" w:hAnsi="Miriam" w:cs="Miriam"/>
          <w:b/>
          <w:bCs/>
          <w:noProof w:val="0"/>
          <w:rtl/>
        </w:rPr>
        <w:t>אלו נהוגים. לפי</w:t>
      </w:r>
      <w:r w:rsidRPr="002203FA">
        <w:rPr>
          <w:rFonts w:ascii="Miriam" w:eastAsia="Calibri" w:hAnsi="Miriam" w:cs="Miriam"/>
          <w:b/>
          <w:bCs/>
          <w:noProof w:val="0"/>
        </w:rPr>
        <w:t xml:space="preserve"> </w:t>
      </w:r>
      <w:r w:rsidRPr="002203FA">
        <w:rPr>
          <w:rFonts w:ascii="Miriam" w:eastAsia="Calibri" w:hAnsi="Miriam" w:cs="Miriam"/>
          <w:b/>
          <w:bCs/>
          <w:noProof w:val="0"/>
          <w:rtl/>
        </w:rPr>
        <w:t>מידע</w:t>
      </w:r>
      <w:r w:rsidRPr="002203FA">
        <w:rPr>
          <w:rFonts w:ascii="Miriam" w:eastAsia="Calibri" w:hAnsi="Miriam" w:cs="Miriam"/>
          <w:b/>
          <w:bCs/>
          <w:noProof w:val="0"/>
        </w:rPr>
        <w:t xml:space="preserve"> </w:t>
      </w:r>
      <w:r w:rsidRPr="002203FA">
        <w:rPr>
          <w:rFonts w:ascii="Miriam" w:eastAsia="Calibri" w:hAnsi="Miriam" w:cs="Miriam"/>
          <w:b/>
          <w:bCs/>
          <w:noProof w:val="0"/>
          <w:rtl/>
        </w:rPr>
        <w:t>מגורמי</w:t>
      </w:r>
      <w:r w:rsidRPr="002203FA">
        <w:rPr>
          <w:rFonts w:ascii="Miriam" w:eastAsia="Calibri" w:hAnsi="Miriam" w:cs="Miriam"/>
          <w:b/>
          <w:bCs/>
          <w:noProof w:val="0"/>
        </w:rPr>
        <w:t xml:space="preserve"> </w:t>
      </w:r>
      <w:r w:rsidRPr="002203FA">
        <w:rPr>
          <w:rFonts w:ascii="Miriam" w:eastAsia="Calibri" w:hAnsi="Miriam" w:cs="Miriam"/>
          <w:b/>
          <w:bCs/>
          <w:noProof w:val="0"/>
          <w:rtl/>
        </w:rPr>
        <w:t>הרווחה, נשים</w:t>
      </w:r>
      <w:r w:rsidRPr="002203FA">
        <w:rPr>
          <w:rFonts w:ascii="Miriam" w:eastAsia="Calibri" w:hAnsi="Miriam" w:cs="Miriam"/>
          <w:b/>
          <w:bCs/>
          <w:noProof w:val="0"/>
        </w:rPr>
        <w:t xml:space="preserve"> </w:t>
      </w:r>
      <w:r w:rsidRPr="002203FA">
        <w:rPr>
          <w:rFonts w:ascii="Miriam" w:eastAsia="Calibri" w:hAnsi="Miriam" w:cs="Miriam"/>
          <w:b/>
          <w:bCs/>
          <w:noProof w:val="0"/>
          <w:rtl/>
        </w:rPr>
        <w:t>במשפחות</w:t>
      </w:r>
      <w:r w:rsidRPr="002203FA">
        <w:rPr>
          <w:rFonts w:ascii="Miriam" w:eastAsia="Calibri" w:hAnsi="Miriam" w:cs="Miriam"/>
          <w:b/>
          <w:bCs/>
          <w:noProof w:val="0"/>
        </w:rPr>
        <w:t xml:space="preserve"> </w:t>
      </w:r>
      <w:r w:rsidRPr="002203FA">
        <w:rPr>
          <w:rFonts w:ascii="Miriam" w:eastAsia="Calibri" w:hAnsi="Miriam" w:cs="Miriam"/>
          <w:b/>
          <w:bCs/>
          <w:noProof w:val="0"/>
          <w:rtl/>
        </w:rPr>
        <w:t>פוליגמיות</w:t>
      </w:r>
      <w:r w:rsidRPr="002203FA">
        <w:rPr>
          <w:rFonts w:ascii="Miriam" w:eastAsia="Calibri" w:hAnsi="Miriam" w:cs="Miriam"/>
          <w:b/>
          <w:bCs/>
          <w:noProof w:val="0"/>
        </w:rPr>
        <w:t xml:space="preserve"> </w:t>
      </w:r>
      <w:r w:rsidRPr="002203FA">
        <w:rPr>
          <w:rFonts w:ascii="Miriam" w:eastAsia="Calibri" w:hAnsi="Miriam" w:cs="Miriam"/>
          <w:b/>
          <w:bCs/>
          <w:noProof w:val="0"/>
          <w:rtl/>
        </w:rPr>
        <w:t>מצויות, פעמים</w:t>
      </w:r>
      <w:r w:rsidRPr="002203FA">
        <w:rPr>
          <w:rFonts w:ascii="Miriam" w:eastAsia="Calibri" w:hAnsi="Miriam" w:cs="Miriam"/>
          <w:b/>
          <w:bCs/>
          <w:noProof w:val="0"/>
        </w:rPr>
        <w:t xml:space="preserve"> </w:t>
      </w:r>
      <w:r w:rsidRPr="002203FA">
        <w:rPr>
          <w:rFonts w:ascii="Miriam" w:eastAsia="Calibri" w:hAnsi="Miriam" w:cs="Miriam"/>
          <w:b/>
          <w:bCs/>
          <w:noProof w:val="0"/>
          <w:rtl/>
        </w:rPr>
        <w:t>רבות, במאבק על</w:t>
      </w:r>
      <w:r w:rsidRPr="002203FA">
        <w:rPr>
          <w:rFonts w:ascii="Miriam" w:eastAsia="Calibri" w:hAnsi="Miriam" w:cs="Miriam"/>
          <w:b/>
          <w:bCs/>
          <w:noProof w:val="0"/>
        </w:rPr>
        <w:t xml:space="preserve"> </w:t>
      </w:r>
      <w:r w:rsidRPr="002203FA">
        <w:rPr>
          <w:rFonts w:ascii="Miriam" w:eastAsia="Calibri" w:hAnsi="Miriam" w:cs="Miriam"/>
          <w:b/>
          <w:bCs/>
          <w:noProof w:val="0"/>
          <w:rtl/>
        </w:rPr>
        <w:t>מעמדן</w:t>
      </w:r>
      <w:r w:rsidRPr="002203FA">
        <w:rPr>
          <w:rFonts w:ascii="Miriam" w:eastAsia="Calibri" w:hAnsi="Miriam" w:cs="Miriam"/>
          <w:b/>
          <w:bCs/>
          <w:noProof w:val="0"/>
        </w:rPr>
        <w:t xml:space="preserve"> </w:t>
      </w:r>
      <w:r w:rsidRPr="002203FA">
        <w:rPr>
          <w:rFonts w:ascii="Miriam" w:eastAsia="Calibri" w:hAnsi="Miriam" w:cs="Miriam"/>
          <w:b/>
          <w:bCs/>
          <w:noProof w:val="0"/>
          <w:rtl/>
        </w:rPr>
        <w:t>בתוך</w:t>
      </w:r>
      <w:r w:rsidRPr="002203FA">
        <w:rPr>
          <w:rFonts w:ascii="Miriam" w:eastAsia="Calibri" w:hAnsi="Miriam" w:cs="Miriam"/>
          <w:b/>
          <w:bCs/>
          <w:noProof w:val="0"/>
        </w:rPr>
        <w:t xml:space="preserve"> </w:t>
      </w:r>
      <w:r w:rsidRPr="002203FA">
        <w:rPr>
          <w:rFonts w:ascii="Miriam" w:eastAsia="Calibri" w:hAnsi="Miriam" w:cs="Miriam"/>
          <w:b/>
          <w:bCs/>
          <w:noProof w:val="0"/>
          <w:rtl/>
        </w:rPr>
        <w:t>המשפחה, תוך</w:t>
      </w:r>
      <w:r w:rsidRPr="002203FA">
        <w:rPr>
          <w:rFonts w:ascii="Miriam" w:eastAsia="Calibri" w:hAnsi="Miriam" w:cs="Miriam"/>
          <w:b/>
          <w:bCs/>
          <w:noProof w:val="0"/>
        </w:rPr>
        <w:t xml:space="preserve"> </w:t>
      </w:r>
      <w:r w:rsidRPr="002203FA">
        <w:rPr>
          <w:rFonts w:ascii="Miriam" w:eastAsia="Calibri" w:hAnsi="Miriam" w:cs="Miriam"/>
          <w:b/>
          <w:bCs/>
          <w:noProof w:val="0"/>
          <w:rtl/>
        </w:rPr>
        <w:t>ניסיון</w:t>
      </w:r>
      <w:r w:rsidRPr="002203FA">
        <w:rPr>
          <w:rFonts w:ascii="Miriam" w:eastAsia="Calibri" w:hAnsi="Miriam" w:cs="Miriam"/>
          <w:b/>
          <w:bCs/>
          <w:noProof w:val="0"/>
        </w:rPr>
        <w:t xml:space="preserve"> </w:t>
      </w:r>
      <w:r w:rsidRPr="002203FA">
        <w:rPr>
          <w:rFonts w:ascii="Miriam" w:eastAsia="Calibri" w:hAnsi="Miriam" w:cs="Miriam"/>
          <w:b/>
          <w:bCs/>
          <w:noProof w:val="0"/>
          <w:rtl/>
        </w:rPr>
        <w:t>לזכות</w:t>
      </w:r>
      <w:r w:rsidRPr="002203FA">
        <w:rPr>
          <w:rFonts w:ascii="Miriam" w:eastAsia="Calibri" w:hAnsi="Miriam" w:cs="Miriam"/>
          <w:b/>
          <w:bCs/>
          <w:noProof w:val="0"/>
        </w:rPr>
        <w:t xml:space="preserve"> </w:t>
      </w:r>
      <w:r w:rsidRPr="002203FA">
        <w:rPr>
          <w:rFonts w:ascii="Miriam" w:eastAsia="Calibri" w:hAnsi="Miriam" w:cs="Miriam"/>
          <w:b/>
          <w:bCs/>
          <w:noProof w:val="0"/>
          <w:rtl/>
        </w:rPr>
        <w:t>בהעדפתו</w:t>
      </w:r>
      <w:r w:rsidRPr="002203FA">
        <w:rPr>
          <w:rFonts w:ascii="Miriam" w:eastAsia="Calibri" w:hAnsi="Miriam" w:cs="Miriam"/>
          <w:b/>
          <w:bCs/>
          <w:noProof w:val="0"/>
        </w:rPr>
        <w:t xml:space="preserve"> </w:t>
      </w:r>
      <w:r w:rsidRPr="002203FA">
        <w:rPr>
          <w:rFonts w:ascii="Miriam" w:eastAsia="Calibri" w:hAnsi="Miriam" w:cs="Miriam"/>
          <w:b/>
          <w:bCs/>
          <w:noProof w:val="0"/>
          <w:rtl/>
        </w:rPr>
        <w:t>של</w:t>
      </w:r>
      <w:r w:rsidRPr="002203FA">
        <w:rPr>
          <w:rFonts w:ascii="Miriam" w:eastAsia="Calibri" w:hAnsi="Miriam" w:cs="Miriam"/>
          <w:b/>
          <w:bCs/>
          <w:noProof w:val="0"/>
        </w:rPr>
        <w:t xml:space="preserve"> </w:t>
      </w:r>
      <w:r w:rsidRPr="002203FA">
        <w:rPr>
          <w:rFonts w:ascii="Miriam" w:eastAsia="Calibri" w:hAnsi="Miriam" w:cs="Miriam"/>
          <w:b/>
          <w:bCs/>
          <w:noProof w:val="0"/>
          <w:rtl/>
        </w:rPr>
        <w:t>הבעל</w:t>
      </w:r>
      <w:r w:rsidRPr="002203FA">
        <w:rPr>
          <w:rFonts w:ascii="Miriam" w:eastAsia="Calibri" w:hAnsi="Miriam" w:cs="Miriam"/>
          <w:b/>
          <w:bCs/>
          <w:noProof w:val="0"/>
        </w:rPr>
        <w:t xml:space="preserve"> </w:t>
      </w:r>
      <w:r w:rsidRPr="002203FA">
        <w:rPr>
          <w:rFonts w:ascii="Miriam" w:eastAsia="Calibri" w:hAnsi="Miriam" w:cs="Miriam"/>
          <w:b/>
          <w:bCs/>
          <w:noProof w:val="0"/>
          <w:rtl/>
        </w:rPr>
        <w:t>אותן</w:t>
      </w:r>
      <w:r w:rsidRPr="002203FA">
        <w:rPr>
          <w:rFonts w:ascii="Miriam" w:eastAsia="Calibri" w:hAnsi="Miriam" w:cs="Miriam"/>
          <w:b/>
          <w:bCs/>
          <w:noProof w:val="0"/>
        </w:rPr>
        <w:t xml:space="preserve"> </w:t>
      </w:r>
      <w:r w:rsidRPr="002203FA">
        <w:rPr>
          <w:rFonts w:ascii="Miriam" w:eastAsia="Calibri" w:hAnsi="Miriam" w:cs="Miriam"/>
          <w:b/>
          <w:bCs/>
          <w:noProof w:val="0"/>
          <w:rtl/>
        </w:rPr>
        <w:t>על</w:t>
      </w:r>
      <w:r w:rsidRPr="002203FA">
        <w:rPr>
          <w:rFonts w:ascii="Miriam" w:eastAsia="Calibri" w:hAnsi="Miriam" w:cs="Miriam"/>
          <w:b/>
          <w:bCs/>
          <w:noProof w:val="0"/>
        </w:rPr>
        <w:t xml:space="preserve"> </w:t>
      </w:r>
      <w:r w:rsidRPr="002203FA">
        <w:rPr>
          <w:rFonts w:ascii="Miriam" w:eastAsia="Calibri" w:hAnsi="Miriam" w:cs="Miriam"/>
          <w:b/>
          <w:bCs/>
          <w:noProof w:val="0"/>
          <w:rtl/>
        </w:rPr>
        <w:t>פני</w:t>
      </w:r>
      <w:r w:rsidRPr="002203FA">
        <w:rPr>
          <w:rFonts w:ascii="Miriam" w:eastAsia="Calibri" w:hAnsi="Miriam" w:cs="Miriam"/>
          <w:b/>
          <w:bCs/>
          <w:noProof w:val="0"/>
        </w:rPr>
        <w:t xml:space="preserve"> </w:t>
      </w:r>
      <w:r w:rsidRPr="002203FA">
        <w:rPr>
          <w:rFonts w:ascii="Miriam" w:eastAsia="Calibri" w:hAnsi="Miriam" w:cs="Miriam"/>
          <w:b/>
          <w:bCs/>
          <w:noProof w:val="0"/>
          <w:rtl/>
        </w:rPr>
        <w:t>נשותיו</w:t>
      </w:r>
      <w:r w:rsidRPr="002203FA">
        <w:rPr>
          <w:rFonts w:ascii="Miriam" w:eastAsia="Calibri" w:hAnsi="Miriam" w:cs="Miriam"/>
          <w:b/>
          <w:bCs/>
          <w:noProof w:val="0"/>
        </w:rPr>
        <w:t xml:space="preserve"> </w:t>
      </w:r>
      <w:r w:rsidRPr="002203FA">
        <w:rPr>
          <w:rFonts w:ascii="Miriam" w:eastAsia="Calibri" w:hAnsi="Miriam" w:cs="Miriam"/>
          <w:b/>
          <w:bCs/>
          <w:noProof w:val="0"/>
          <w:rtl/>
        </w:rPr>
        <w:t>האחרות, וניסיון</w:t>
      </w:r>
      <w:r w:rsidRPr="002203FA">
        <w:rPr>
          <w:rFonts w:ascii="Miriam" w:eastAsia="Calibri" w:hAnsi="Miriam" w:cs="Miriam"/>
          <w:b/>
          <w:bCs/>
          <w:noProof w:val="0"/>
        </w:rPr>
        <w:t xml:space="preserve"> </w:t>
      </w:r>
      <w:r w:rsidRPr="002203FA">
        <w:rPr>
          <w:rFonts w:ascii="Miriam" w:eastAsia="Calibri" w:hAnsi="Miriam" w:cs="Miriam"/>
          <w:b/>
          <w:bCs/>
          <w:noProof w:val="0"/>
          <w:rtl/>
        </w:rPr>
        <w:t>לקבל</w:t>
      </w:r>
      <w:r w:rsidRPr="002203FA">
        <w:rPr>
          <w:rFonts w:ascii="Miriam" w:eastAsia="Calibri" w:hAnsi="Miriam" w:cs="Miriam"/>
          <w:b/>
          <w:bCs/>
          <w:noProof w:val="0"/>
        </w:rPr>
        <w:t xml:space="preserve"> </w:t>
      </w:r>
      <w:r w:rsidRPr="002203FA">
        <w:rPr>
          <w:rFonts w:ascii="Miriam" w:eastAsia="Calibri" w:hAnsi="Miriam" w:cs="Miriam"/>
          <w:b/>
          <w:bCs/>
          <w:noProof w:val="0"/>
          <w:rtl/>
        </w:rPr>
        <w:t>נתח</w:t>
      </w:r>
      <w:r w:rsidRPr="002203FA">
        <w:rPr>
          <w:rFonts w:ascii="Miriam" w:eastAsia="Calibri" w:hAnsi="Miriam" w:cs="Miriam"/>
          <w:b/>
          <w:bCs/>
          <w:noProof w:val="0"/>
        </w:rPr>
        <w:t xml:space="preserve"> </w:t>
      </w:r>
      <w:r w:rsidRPr="002203FA">
        <w:rPr>
          <w:rFonts w:ascii="Miriam" w:eastAsia="Calibri" w:hAnsi="Miriam" w:cs="Miriam"/>
          <w:b/>
          <w:bCs/>
          <w:noProof w:val="0"/>
          <w:rtl/>
        </w:rPr>
        <w:t>גדול</w:t>
      </w:r>
      <w:r w:rsidRPr="002203FA">
        <w:rPr>
          <w:rFonts w:ascii="Miriam" w:eastAsia="Calibri" w:hAnsi="Miriam" w:cs="Miriam"/>
          <w:b/>
          <w:bCs/>
          <w:noProof w:val="0"/>
        </w:rPr>
        <w:t xml:space="preserve"> </w:t>
      </w:r>
      <w:r w:rsidRPr="002203FA">
        <w:rPr>
          <w:rFonts w:ascii="Miriam" w:eastAsia="Calibri" w:hAnsi="Miriam" w:cs="Miriam"/>
          <w:b/>
          <w:bCs/>
          <w:noProof w:val="0"/>
          <w:rtl/>
        </w:rPr>
        <w:t>ככל</w:t>
      </w:r>
      <w:r w:rsidRPr="002203FA">
        <w:rPr>
          <w:rFonts w:ascii="Miriam" w:eastAsia="Calibri" w:hAnsi="Miriam" w:cs="Miriam"/>
          <w:b/>
          <w:bCs/>
          <w:noProof w:val="0"/>
        </w:rPr>
        <w:t xml:space="preserve"> </w:t>
      </w:r>
      <w:r w:rsidRPr="002203FA">
        <w:rPr>
          <w:rFonts w:ascii="Miriam" w:eastAsia="Calibri" w:hAnsi="Miriam" w:cs="Miriam"/>
          <w:b/>
          <w:bCs/>
          <w:noProof w:val="0"/>
          <w:rtl/>
        </w:rPr>
        <w:t>האפשר</w:t>
      </w:r>
      <w:r w:rsidRPr="002203FA">
        <w:rPr>
          <w:rFonts w:ascii="Miriam" w:eastAsia="Calibri" w:hAnsi="Miriam" w:cs="Miriam"/>
          <w:b/>
          <w:bCs/>
          <w:noProof w:val="0"/>
        </w:rPr>
        <w:t xml:space="preserve"> </w:t>
      </w:r>
      <w:r w:rsidRPr="002203FA">
        <w:rPr>
          <w:rFonts w:ascii="Miriam" w:eastAsia="Calibri" w:hAnsi="Miriam" w:cs="Miriam"/>
          <w:b/>
          <w:bCs/>
          <w:noProof w:val="0"/>
          <w:rtl/>
        </w:rPr>
        <w:t>במשאבים</w:t>
      </w:r>
      <w:r w:rsidRPr="002203FA">
        <w:rPr>
          <w:rFonts w:ascii="Miriam" w:eastAsia="Calibri" w:hAnsi="Miriam" w:cs="Miriam"/>
          <w:b/>
          <w:bCs/>
          <w:noProof w:val="0"/>
        </w:rPr>
        <w:t xml:space="preserve"> </w:t>
      </w:r>
      <w:r w:rsidRPr="002203FA">
        <w:rPr>
          <w:rFonts w:ascii="Miriam" w:eastAsia="Calibri" w:hAnsi="Miriam" w:cs="Miriam"/>
          <w:b/>
          <w:bCs/>
          <w:noProof w:val="0"/>
          <w:rtl/>
        </w:rPr>
        <w:t>הכלכליים</w:t>
      </w:r>
      <w:r w:rsidRPr="002203FA">
        <w:rPr>
          <w:rFonts w:ascii="Miriam" w:eastAsia="Calibri" w:hAnsi="Miriam" w:cs="Miriam"/>
          <w:b/>
          <w:bCs/>
          <w:noProof w:val="0"/>
        </w:rPr>
        <w:t xml:space="preserve"> </w:t>
      </w:r>
      <w:r w:rsidRPr="002203FA">
        <w:rPr>
          <w:rFonts w:ascii="Miriam" w:eastAsia="Calibri" w:hAnsi="Miriam" w:cs="Miriam"/>
          <w:b/>
          <w:bCs/>
          <w:noProof w:val="0"/>
          <w:rtl/>
        </w:rPr>
        <w:t>המשפחתיים</w:t>
      </w:r>
      <w:r w:rsidRPr="002203FA">
        <w:rPr>
          <w:rFonts w:ascii="Miriam" w:eastAsia="Calibri" w:hAnsi="Miriam" w:cs="Miriam"/>
          <w:b/>
          <w:bCs/>
          <w:noProof w:val="0"/>
        </w:rPr>
        <w:t xml:space="preserve"> </w:t>
      </w:r>
      <w:r w:rsidRPr="002203FA">
        <w:rPr>
          <w:rFonts w:ascii="Miriam" w:eastAsia="Calibri" w:hAnsi="Miriam" w:cs="Miriam"/>
          <w:b/>
          <w:bCs/>
          <w:noProof w:val="0"/>
          <w:rtl/>
        </w:rPr>
        <w:t>עבורן</w:t>
      </w:r>
      <w:r w:rsidRPr="002203FA">
        <w:rPr>
          <w:rFonts w:ascii="Miriam" w:eastAsia="Calibri" w:hAnsi="Miriam" w:cs="Miriam"/>
          <w:b/>
          <w:bCs/>
          <w:noProof w:val="0"/>
        </w:rPr>
        <w:t xml:space="preserve"> </w:t>
      </w:r>
      <w:r w:rsidRPr="002203FA">
        <w:rPr>
          <w:rFonts w:ascii="Miriam" w:eastAsia="Calibri" w:hAnsi="Miriam" w:cs="Miriam"/>
          <w:b/>
          <w:bCs/>
          <w:noProof w:val="0"/>
          <w:rtl/>
        </w:rPr>
        <w:t>ועבור</w:t>
      </w:r>
      <w:r w:rsidRPr="002203FA">
        <w:rPr>
          <w:rFonts w:ascii="Miriam" w:eastAsia="Calibri" w:hAnsi="Miriam" w:cs="Miriam"/>
          <w:b/>
          <w:bCs/>
          <w:noProof w:val="0"/>
        </w:rPr>
        <w:t xml:space="preserve"> </w:t>
      </w:r>
      <w:r w:rsidRPr="002203FA">
        <w:rPr>
          <w:rFonts w:ascii="Miriam" w:eastAsia="Calibri" w:hAnsi="Miriam" w:cs="Miriam"/>
          <w:b/>
          <w:bCs/>
          <w:noProof w:val="0"/>
          <w:rtl/>
        </w:rPr>
        <w:t>ילדיהן הקטינים. במשפחות</w:t>
      </w:r>
      <w:r w:rsidRPr="002203FA">
        <w:rPr>
          <w:rFonts w:ascii="Miriam" w:eastAsia="Calibri" w:hAnsi="Miriam" w:cs="Miriam"/>
          <w:b/>
          <w:bCs/>
          <w:noProof w:val="0"/>
        </w:rPr>
        <w:t xml:space="preserve"> </w:t>
      </w:r>
      <w:r w:rsidRPr="002203FA">
        <w:rPr>
          <w:rFonts w:ascii="Miriam" w:eastAsia="Calibri" w:hAnsi="Miriam" w:cs="Miriam"/>
          <w:b/>
          <w:bCs/>
          <w:noProof w:val="0"/>
          <w:rtl/>
        </w:rPr>
        <w:t>רבות</w:t>
      </w:r>
      <w:r w:rsidRPr="002203FA">
        <w:rPr>
          <w:rFonts w:ascii="Miriam" w:eastAsia="Calibri" w:hAnsi="Miriam" w:cs="Miriam"/>
          <w:b/>
          <w:bCs/>
          <w:noProof w:val="0"/>
        </w:rPr>
        <w:t xml:space="preserve"> </w:t>
      </w:r>
      <w:r w:rsidRPr="002203FA">
        <w:rPr>
          <w:rFonts w:ascii="Miriam" w:eastAsia="Calibri" w:hAnsi="Miriam" w:cs="Miriam"/>
          <w:b/>
          <w:bCs/>
          <w:noProof w:val="0"/>
          <w:rtl/>
        </w:rPr>
        <w:t>ניכר</w:t>
      </w:r>
      <w:r w:rsidRPr="002203FA">
        <w:rPr>
          <w:rFonts w:ascii="Miriam" w:eastAsia="Calibri" w:hAnsi="Miriam" w:cs="Miriam"/>
          <w:b/>
          <w:bCs/>
          <w:noProof w:val="0"/>
        </w:rPr>
        <w:t xml:space="preserve"> </w:t>
      </w:r>
      <w:r w:rsidRPr="002203FA">
        <w:rPr>
          <w:rFonts w:ascii="Miriam" w:eastAsia="Calibri" w:hAnsi="Miriam" w:cs="Miriam"/>
          <w:b/>
          <w:bCs/>
          <w:noProof w:val="0"/>
          <w:rtl/>
        </w:rPr>
        <w:t>פער</w:t>
      </w:r>
      <w:r w:rsidRPr="002203FA">
        <w:rPr>
          <w:rFonts w:ascii="Miriam" w:eastAsia="Calibri" w:hAnsi="Miriam" w:cs="Miriam"/>
          <w:b/>
          <w:bCs/>
          <w:noProof w:val="0"/>
        </w:rPr>
        <w:t xml:space="preserve"> </w:t>
      </w:r>
      <w:r w:rsidRPr="002203FA">
        <w:rPr>
          <w:rFonts w:ascii="Miriam" w:eastAsia="Calibri" w:hAnsi="Miriam" w:cs="Miriam"/>
          <w:b/>
          <w:bCs/>
          <w:noProof w:val="0"/>
          <w:rtl/>
        </w:rPr>
        <w:t>עצום</w:t>
      </w:r>
      <w:r w:rsidRPr="002203FA">
        <w:rPr>
          <w:rFonts w:ascii="Miriam" w:eastAsia="Calibri" w:hAnsi="Miriam" w:cs="Miriam"/>
          <w:b/>
          <w:bCs/>
          <w:noProof w:val="0"/>
        </w:rPr>
        <w:t xml:space="preserve"> </w:t>
      </w:r>
      <w:r w:rsidRPr="002203FA">
        <w:rPr>
          <w:rFonts w:ascii="Miriam" w:eastAsia="Calibri" w:hAnsi="Miriam" w:cs="Miriam"/>
          <w:b/>
          <w:bCs/>
          <w:noProof w:val="0"/>
          <w:rtl/>
        </w:rPr>
        <w:t>בין</w:t>
      </w:r>
      <w:r w:rsidRPr="002203FA">
        <w:rPr>
          <w:rFonts w:ascii="Miriam" w:eastAsia="Calibri" w:hAnsi="Miriam" w:cs="Miriam"/>
          <w:b/>
          <w:bCs/>
          <w:noProof w:val="0"/>
        </w:rPr>
        <w:t xml:space="preserve"> </w:t>
      </w:r>
      <w:r w:rsidRPr="002203FA">
        <w:rPr>
          <w:rFonts w:ascii="Miriam" w:eastAsia="Calibri" w:hAnsi="Miriam" w:cs="Miriam"/>
          <w:b/>
          <w:bCs/>
          <w:noProof w:val="0"/>
          <w:rtl/>
        </w:rPr>
        <w:t>מעמדה</w:t>
      </w:r>
      <w:r w:rsidRPr="002203FA">
        <w:rPr>
          <w:rFonts w:ascii="Miriam" w:eastAsia="Calibri" w:hAnsi="Miriam" w:cs="Miriam"/>
          <w:b/>
          <w:bCs/>
          <w:noProof w:val="0"/>
        </w:rPr>
        <w:t xml:space="preserve"> </w:t>
      </w:r>
      <w:r w:rsidRPr="002203FA">
        <w:rPr>
          <w:rFonts w:ascii="Miriam" w:eastAsia="Calibri" w:hAnsi="Miriam" w:cs="Miriam"/>
          <w:b/>
          <w:bCs/>
          <w:noProof w:val="0"/>
          <w:rtl/>
        </w:rPr>
        <w:t>של</w:t>
      </w:r>
      <w:r w:rsidRPr="002203FA">
        <w:rPr>
          <w:rFonts w:ascii="Miriam" w:eastAsia="Calibri" w:hAnsi="Miriam" w:cs="Miriam"/>
          <w:b/>
          <w:bCs/>
          <w:noProof w:val="0"/>
        </w:rPr>
        <w:t xml:space="preserve"> </w:t>
      </w:r>
      <w:r w:rsidRPr="002203FA">
        <w:rPr>
          <w:rFonts w:ascii="Miriam" w:eastAsia="Calibri" w:hAnsi="Miriam" w:cs="Miriam"/>
          <w:b/>
          <w:bCs/>
          <w:noProof w:val="0"/>
          <w:rtl/>
        </w:rPr>
        <w:t>אישה</w:t>
      </w:r>
      <w:r w:rsidRPr="002203FA">
        <w:rPr>
          <w:rFonts w:ascii="Miriam" w:eastAsia="Calibri" w:hAnsi="Miriam" w:cs="Miriam"/>
          <w:b/>
          <w:bCs/>
          <w:noProof w:val="0"/>
        </w:rPr>
        <w:t xml:space="preserve"> </w:t>
      </w:r>
      <w:r w:rsidRPr="002203FA">
        <w:rPr>
          <w:rFonts w:ascii="Miriam" w:eastAsia="Calibri" w:hAnsi="Miriam" w:cs="Miriam"/>
          <w:b/>
          <w:bCs/>
          <w:noProof w:val="0"/>
          <w:rtl/>
        </w:rPr>
        <w:t>אחת</w:t>
      </w:r>
      <w:r w:rsidRPr="002203FA">
        <w:rPr>
          <w:rFonts w:ascii="Miriam" w:eastAsia="Calibri" w:hAnsi="Miriam" w:cs="Miriam"/>
          <w:b/>
          <w:bCs/>
          <w:noProof w:val="0"/>
        </w:rPr>
        <w:t xml:space="preserve"> </w:t>
      </w:r>
      <w:r w:rsidRPr="002203FA">
        <w:rPr>
          <w:rFonts w:ascii="Miriam" w:eastAsia="Calibri" w:hAnsi="Miriam" w:cs="Miriam"/>
          <w:b/>
          <w:bCs/>
          <w:noProof w:val="0"/>
          <w:rtl/>
        </w:rPr>
        <w:t>ושל</w:t>
      </w:r>
      <w:r w:rsidRPr="002203FA">
        <w:rPr>
          <w:rFonts w:ascii="Miriam" w:eastAsia="Calibri" w:hAnsi="Miriam" w:cs="Miriam"/>
          <w:b/>
          <w:bCs/>
          <w:noProof w:val="0"/>
        </w:rPr>
        <w:t xml:space="preserve"> </w:t>
      </w:r>
      <w:r w:rsidRPr="002203FA">
        <w:rPr>
          <w:rFonts w:ascii="Miriam" w:eastAsia="Calibri" w:hAnsi="Miriam" w:cs="Miriam"/>
          <w:b/>
          <w:bCs/>
          <w:noProof w:val="0"/>
          <w:rtl/>
        </w:rPr>
        <w:t>ילדיה</w:t>
      </w:r>
      <w:r w:rsidRPr="002203FA">
        <w:rPr>
          <w:rFonts w:ascii="Miriam" w:eastAsia="Calibri" w:hAnsi="Miriam" w:cs="Miriam"/>
          <w:b/>
          <w:bCs/>
          <w:noProof w:val="0"/>
        </w:rPr>
        <w:t xml:space="preserve"> </w:t>
      </w:r>
      <w:r w:rsidRPr="002203FA">
        <w:rPr>
          <w:rFonts w:ascii="Miriam" w:eastAsia="Calibri" w:hAnsi="Miriam" w:cs="Miriam"/>
          <w:b/>
          <w:bCs/>
          <w:noProof w:val="0"/>
          <w:rtl/>
        </w:rPr>
        <w:t>לבין</w:t>
      </w:r>
      <w:r w:rsidRPr="002203FA">
        <w:rPr>
          <w:rFonts w:ascii="Miriam" w:eastAsia="Calibri" w:hAnsi="Miriam" w:cs="Miriam"/>
          <w:b/>
          <w:bCs/>
          <w:noProof w:val="0"/>
        </w:rPr>
        <w:t xml:space="preserve"> </w:t>
      </w:r>
      <w:r w:rsidRPr="002203FA">
        <w:rPr>
          <w:rFonts w:ascii="Miriam" w:eastAsia="Calibri" w:hAnsi="Miriam" w:cs="Miriam"/>
          <w:b/>
          <w:bCs/>
          <w:noProof w:val="0"/>
          <w:rtl/>
        </w:rPr>
        <w:t>מעמד של</w:t>
      </w:r>
      <w:r w:rsidRPr="002203FA">
        <w:rPr>
          <w:rFonts w:ascii="Miriam" w:eastAsia="Calibri" w:hAnsi="Miriam" w:cs="Miriam"/>
          <w:b/>
          <w:bCs/>
          <w:noProof w:val="0"/>
        </w:rPr>
        <w:t xml:space="preserve"> </w:t>
      </w:r>
      <w:r w:rsidRPr="002203FA">
        <w:rPr>
          <w:rFonts w:ascii="Miriam" w:eastAsia="Calibri" w:hAnsi="Miriam" w:cs="Miriam"/>
          <w:b/>
          <w:bCs/>
          <w:noProof w:val="0"/>
          <w:rtl/>
        </w:rPr>
        <w:t>אישה</w:t>
      </w:r>
      <w:r w:rsidRPr="002203FA">
        <w:rPr>
          <w:rFonts w:ascii="Miriam" w:eastAsia="Calibri" w:hAnsi="Miriam" w:cs="Miriam"/>
          <w:b/>
          <w:bCs/>
          <w:noProof w:val="0"/>
        </w:rPr>
        <w:t xml:space="preserve"> </w:t>
      </w:r>
      <w:r w:rsidRPr="002203FA">
        <w:rPr>
          <w:rFonts w:ascii="Miriam" w:eastAsia="Calibri" w:hAnsi="Miriam" w:cs="Miriam"/>
          <w:b/>
          <w:bCs/>
          <w:noProof w:val="0"/>
          <w:rtl/>
        </w:rPr>
        <w:t>אחרת</w:t>
      </w:r>
      <w:r w:rsidRPr="002203FA">
        <w:rPr>
          <w:rFonts w:ascii="Miriam" w:eastAsia="Calibri" w:hAnsi="Miriam" w:cs="Miriam"/>
          <w:b/>
          <w:bCs/>
          <w:noProof w:val="0"/>
        </w:rPr>
        <w:t xml:space="preserve"> </w:t>
      </w:r>
      <w:r w:rsidRPr="002203FA">
        <w:rPr>
          <w:rFonts w:ascii="Miriam" w:eastAsia="Calibri" w:hAnsi="Miriam" w:cs="Miriam"/>
          <w:b/>
          <w:bCs/>
          <w:noProof w:val="0"/>
          <w:rtl/>
        </w:rPr>
        <w:t>וילדיה. לפערי</w:t>
      </w:r>
      <w:r w:rsidRPr="002203FA">
        <w:rPr>
          <w:rFonts w:ascii="Miriam" w:eastAsia="Calibri" w:hAnsi="Miriam" w:cs="Miriam"/>
          <w:b/>
          <w:bCs/>
          <w:noProof w:val="0"/>
        </w:rPr>
        <w:t xml:space="preserve"> </w:t>
      </w:r>
      <w:r w:rsidRPr="002203FA">
        <w:rPr>
          <w:rFonts w:ascii="Miriam" w:eastAsia="Calibri" w:hAnsi="Miriam" w:cs="Miriam"/>
          <w:b/>
          <w:bCs/>
          <w:noProof w:val="0"/>
          <w:rtl/>
        </w:rPr>
        <w:t>מעמדות</w:t>
      </w:r>
      <w:r w:rsidRPr="002203FA">
        <w:rPr>
          <w:rFonts w:ascii="Miriam" w:eastAsia="Calibri" w:hAnsi="Miriam" w:cs="Miriam"/>
          <w:b/>
          <w:bCs/>
          <w:noProof w:val="0"/>
        </w:rPr>
        <w:t xml:space="preserve"> </w:t>
      </w:r>
      <w:r w:rsidRPr="002203FA">
        <w:rPr>
          <w:rFonts w:ascii="Miriam" w:eastAsia="Calibri" w:hAnsi="Miriam" w:cs="Miriam"/>
          <w:b/>
          <w:bCs/>
          <w:noProof w:val="0"/>
          <w:rtl/>
        </w:rPr>
        <w:t>אלו</w:t>
      </w:r>
      <w:r w:rsidRPr="002203FA">
        <w:rPr>
          <w:rFonts w:ascii="Miriam" w:eastAsia="Calibri" w:hAnsi="Miriam" w:cs="Miriam"/>
          <w:b/>
          <w:bCs/>
          <w:noProof w:val="0"/>
        </w:rPr>
        <w:t xml:space="preserve"> </w:t>
      </w:r>
      <w:r w:rsidRPr="002203FA">
        <w:rPr>
          <w:rFonts w:ascii="Miriam" w:eastAsia="Calibri" w:hAnsi="Miriam" w:cs="Miriam"/>
          <w:b/>
          <w:bCs/>
          <w:noProof w:val="0"/>
          <w:rtl/>
        </w:rPr>
        <w:t>השלכה</w:t>
      </w:r>
      <w:r w:rsidRPr="002203FA">
        <w:rPr>
          <w:rFonts w:ascii="Miriam" w:eastAsia="Calibri" w:hAnsi="Miriam" w:cs="Miriam"/>
          <w:b/>
          <w:bCs/>
          <w:noProof w:val="0"/>
        </w:rPr>
        <w:t xml:space="preserve"> </w:t>
      </w:r>
      <w:r w:rsidRPr="002203FA">
        <w:rPr>
          <w:rFonts w:ascii="Miriam" w:eastAsia="Calibri" w:hAnsi="Miriam" w:cs="Miriam"/>
          <w:b/>
          <w:bCs/>
          <w:noProof w:val="0"/>
          <w:rtl/>
        </w:rPr>
        <w:t>ישירה</w:t>
      </w:r>
      <w:r w:rsidRPr="002203FA">
        <w:rPr>
          <w:rFonts w:ascii="Miriam" w:eastAsia="Calibri" w:hAnsi="Miriam" w:cs="Miriam"/>
          <w:b/>
          <w:bCs/>
          <w:noProof w:val="0"/>
        </w:rPr>
        <w:t xml:space="preserve"> </w:t>
      </w:r>
      <w:r w:rsidRPr="002203FA">
        <w:rPr>
          <w:rFonts w:ascii="Miriam" w:eastAsia="Calibri" w:hAnsi="Miriam" w:cs="Miriam"/>
          <w:b/>
          <w:bCs/>
          <w:noProof w:val="0"/>
          <w:rtl/>
        </w:rPr>
        <w:t>על</w:t>
      </w:r>
      <w:r w:rsidRPr="002203FA">
        <w:rPr>
          <w:rFonts w:ascii="Miriam" w:eastAsia="Calibri" w:hAnsi="Miriam" w:cs="Miriam"/>
          <w:b/>
          <w:bCs/>
          <w:noProof w:val="0"/>
        </w:rPr>
        <w:t xml:space="preserve"> </w:t>
      </w:r>
      <w:r w:rsidRPr="002203FA">
        <w:rPr>
          <w:rFonts w:ascii="Miriam" w:eastAsia="Calibri" w:hAnsi="Miriam" w:cs="Miriam"/>
          <w:b/>
          <w:bCs/>
          <w:noProof w:val="0"/>
          <w:rtl/>
        </w:rPr>
        <w:t>התפתחותם</w:t>
      </w:r>
      <w:r w:rsidRPr="002203FA">
        <w:rPr>
          <w:rFonts w:ascii="Miriam" w:eastAsia="Calibri" w:hAnsi="Miriam" w:cs="Miriam"/>
          <w:b/>
          <w:bCs/>
          <w:noProof w:val="0"/>
        </w:rPr>
        <w:t xml:space="preserve"> </w:t>
      </w:r>
      <w:r w:rsidRPr="002203FA">
        <w:rPr>
          <w:rFonts w:ascii="Miriam" w:eastAsia="Calibri" w:hAnsi="Miriam" w:cs="Miriam"/>
          <w:b/>
          <w:bCs/>
          <w:noProof w:val="0"/>
          <w:rtl/>
        </w:rPr>
        <w:t>התקינה</w:t>
      </w:r>
      <w:r w:rsidRPr="002203FA">
        <w:rPr>
          <w:rFonts w:ascii="Miriam" w:eastAsia="Calibri" w:hAnsi="Miriam" w:cs="Miriam"/>
          <w:b/>
          <w:bCs/>
          <w:noProof w:val="0"/>
        </w:rPr>
        <w:t xml:space="preserve"> </w:t>
      </w:r>
      <w:r w:rsidRPr="002203FA">
        <w:rPr>
          <w:rFonts w:ascii="Miriam" w:eastAsia="Calibri" w:hAnsi="Miriam" w:cs="Miriam"/>
          <w:b/>
          <w:bCs/>
          <w:noProof w:val="0"/>
          <w:rtl/>
        </w:rPr>
        <w:t>של הקטינים, ועל</w:t>
      </w:r>
      <w:r w:rsidRPr="002203FA">
        <w:rPr>
          <w:rFonts w:ascii="Miriam" w:eastAsia="Calibri" w:hAnsi="Miriam" w:cs="Miriam"/>
          <w:b/>
          <w:bCs/>
          <w:noProof w:val="0"/>
        </w:rPr>
        <w:t xml:space="preserve"> </w:t>
      </w:r>
      <w:r w:rsidRPr="002203FA">
        <w:rPr>
          <w:rFonts w:ascii="Miriam" w:eastAsia="Calibri" w:hAnsi="Miriam" w:cs="Miriam"/>
          <w:b/>
          <w:bCs/>
          <w:noProof w:val="0"/>
          <w:rtl/>
        </w:rPr>
        <w:t>מצבם</w:t>
      </w:r>
      <w:r w:rsidRPr="002203FA">
        <w:rPr>
          <w:rFonts w:ascii="Miriam" w:eastAsia="Calibri" w:hAnsi="Miriam" w:cs="Miriam"/>
          <w:b/>
          <w:bCs/>
          <w:noProof w:val="0"/>
        </w:rPr>
        <w:t xml:space="preserve"> </w:t>
      </w:r>
      <w:r w:rsidRPr="002203FA">
        <w:rPr>
          <w:rFonts w:ascii="Miriam" w:eastAsia="Calibri" w:hAnsi="Miriam" w:cs="Miriam"/>
          <w:b/>
          <w:bCs/>
          <w:noProof w:val="0"/>
          <w:rtl/>
        </w:rPr>
        <w:t>הבריאותי</w:t>
      </w:r>
      <w:r w:rsidRPr="002203FA">
        <w:rPr>
          <w:rFonts w:ascii="Miriam" w:eastAsia="Calibri" w:hAnsi="Miriam" w:cs="Miriam"/>
          <w:b/>
          <w:bCs/>
          <w:noProof w:val="0"/>
        </w:rPr>
        <w:t xml:space="preserve"> </w:t>
      </w:r>
      <w:r w:rsidRPr="002203FA">
        <w:rPr>
          <w:rFonts w:ascii="Miriam" w:eastAsia="Calibri" w:hAnsi="Miriam" w:cs="Miriam"/>
          <w:b/>
          <w:bCs/>
          <w:noProof w:val="0"/>
          <w:rtl/>
        </w:rPr>
        <w:t>והרגשי... לאורח</w:t>
      </w:r>
      <w:r w:rsidRPr="002203FA">
        <w:rPr>
          <w:rFonts w:ascii="Miriam" w:eastAsia="Calibri" w:hAnsi="Miriam" w:cs="Miriam"/>
          <w:b/>
          <w:bCs/>
          <w:noProof w:val="0"/>
        </w:rPr>
        <w:t xml:space="preserve"> </w:t>
      </w:r>
      <w:r w:rsidRPr="002203FA">
        <w:rPr>
          <w:rFonts w:ascii="Miriam" w:eastAsia="Calibri" w:hAnsi="Miriam" w:cs="Miriam"/>
          <w:b/>
          <w:bCs/>
          <w:noProof w:val="0"/>
          <w:rtl/>
        </w:rPr>
        <w:t>חיים</w:t>
      </w:r>
      <w:r w:rsidRPr="002203FA">
        <w:rPr>
          <w:rFonts w:ascii="Miriam" w:eastAsia="Calibri" w:hAnsi="Miriam" w:cs="Miriam"/>
          <w:b/>
          <w:bCs/>
          <w:noProof w:val="0"/>
        </w:rPr>
        <w:t xml:space="preserve"> </w:t>
      </w:r>
      <w:r w:rsidRPr="002203FA">
        <w:rPr>
          <w:rFonts w:ascii="Miriam" w:eastAsia="Calibri" w:hAnsi="Miriam" w:cs="Miriam"/>
          <w:b/>
          <w:bCs/>
          <w:noProof w:val="0"/>
          <w:rtl/>
        </w:rPr>
        <w:t>פוליגמי</w:t>
      </w:r>
      <w:r w:rsidRPr="002203FA">
        <w:rPr>
          <w:rFonts w:ascii="Miriam" w:eastAsia="Calibri" w:hAnsi="Miriam" w:cs="Miriam"/>
          <w:b/>
          <w:bCs/>
          <w:noProof w:val="0"/>
        </w:rPr>
        <w:t xml:space="preserve"> </w:t>
      </w:r>
      <w:r w:rsidRPr="002203FA">
        <w:rPr>
          <w:rFonts w:ascii="Miriam" w:eastAsia="Calibri" w:hAnsi="Miriam" w:cs="Miriam"/>
          <w:b/>
          <w:bCs/>
          <w:noProof w:val="0"/>
          <w:rtl/>
        </w:rPr>
        <w:t>השפעה</w:t>
      </w:r>
      <w:r w:rsidRPr="002203FA">
        <w:rPr>
          <w:rFonts w:ascii="Miriam" w:eastAsia="Calibri" w:hAnsi="Miriam" w:cs="Miriam"/>
          <w:b/>
          <w:bCs/>
          <w:noProof w:val="0"/>
        </w:rPr>
        <w:t xml:space="preserve"> </w:t>
      </w:r>
      <w:r w:rsidRPr="002203FA">
        <w:rPr>
          <w:rFonts w:ascii="Miriam" w:eastAsia="Calibri" w:hAnsi="Miriam" w:cs="Miriam"/>
          <w:b/>
          <w:bCs/>
          <w:noProof w:val="0"/>
          <w:rtl/>
        </w:rPr>
        <w:t>שלילית</w:t>
      </w:r>
      <w:r w:rsidRPr="002203FA">
        <w:rPr>
          <w:rFonts w:ascii="Miriam" w:eastAsia="Calibri" w:hAnsi="Miriam" w:cs="Miriam"/>
          <w:b/>
          <w:bCs/>
          <w:noProof w:val="0"/>
        </w:rPr>
        <w:t xml:space="preserve"> </w:t>
      </w:r>
      <w:r w:rsidRPr="002203FA">
        <w:rPr>
          <w:rFonts w:ascii="Miriam" w:eastAsia="Calibri" w:hAnsi="Miriam" w:cs="Miriam"/>
          <w:b/>
          <w:bCs/>
          <w:noProof w:val="0"/>
          <w:rtl/>
        </w:rPr>
        <w:t>על</w:t>
      </w:r>
      <w:r w:rsidRPr="002203FA">
        <w:rPr>
          <w:rFonts w:ascii="Miriam" w:eastAsia="Calibri" w:hAnsi="Miriam" w:cs="Miriam"/>
          <w:b/>
          <w:bCs/>
          <w:noProof w:val="0"/>
        </w:rPr>
        <w:t xml:space="preserve"> </w:t>
      </w:r>
      <w:r w:rsidRPr="002203FA">
        <w:rPr>
          <w:rFonts w:ascii="Miriam" w:eastAsia="Calibri" w:hAnsi="Miriam" w:cs="Miriam"/>
          <w:b/>
          <w:bCs/>
          <w:noProof w:val="0"/>
          <w:rtl/>
        </w:rPr>
        <w:t>חיי</w:t>
      </w:r>
      <w:r w:rsidRPr="002203FA">
        <w:rPr>
          <w:rFonts w:ascii="Miriam" w:eastAsia="Calibri" w:hAnsi="Miriam" w:cs="Miriam"/>
          <w:b/>
          <w:bCs/>
          <w:noProof w:val="0"/>
        </w:rPr>
        <w:t xml:space="preserve"> </w:t>
      </w:r>
      <w:r w:rsidRPr="002203FA">
        <w:rPr>
          <w:rFonts w:ascii="Miriam" w:eastAsia="Calibri" w:hAnsi="Miriam" w:cs="Miriam"/>
          <w:b/>
          <w:bCs/>
          <w:noProof w:val="0"/>
          <w:rtl/>
        </w:rPr>
        <w:t>המשפחה, בין</w:t>
      </w:r>
      <w:r w:rsidRPr="002203FA">
        <w:rPr>
          <w:rFonts w:ascii="Miriam" w:eastAsia="Calibri" w:hAnsi="Miriam" w:cs="Miriam"/>
          <w:b/>
          <w:bCs/>
          <w:noProof w:val="0"/>
        </w:rPr>
        <w:t xml:space="preserve"> </w:t>
      </w:r>
      <w:r w:rsidRPr="002203FA">
        <w:rPr>
          <w:rFonts w:ascii="Miriam" w:eastAsia="Calibri" w:hAnsi="Miriam" w:cs="Miriam"/>
          <w:b/>
          <w:bCs/>
          <w:noProof w:val="0"/>
          <w:rtl/>
        </w:rPr>
        <w:t>היתר</w:t>
      </w:r>
      <w:r w:rsidRPr="002203FA">
        <w:rPr>
          <w:rFonts w:ascii="Miriam" w:eastAsia="Calibri" w:hAnsi="Miriam" w:cs="Miriam"/>
          <w:b/>
          <w:bCs/>
          <w:noProof w:val="0"/>
        </w:rPr>
        <w:t xml:space="preserve"> </w:t>
      </w:r>
      <w:r w:rsidRPr="002203FA">
        <w:rPr>
          <w:rFonts w:ascii="Miriam" w:eastAsia="Calibri" w:hAnsi="Miriam" w:cs="Miriam"/>
          <w:b/>
          <w:bCs/>
          <w:noProof w:val="0"/>
          <w:rtl/>
        </w:rPr>
        <w:t>מבחינה</w:t>
      </w:r>
      <w:r w:rsidRPr="002203FA">
        <w:rPr>
          <w:rFonts w:ascii="Miriam" w:eastAsia="Calibri" w:hAnsi="Miriam" w:cs="Miriam"/>
          <w:b/>
          <w:bCs/>
          <w:noProof w:val="0"/>
        </w:rPr>
        <w:t xml:space="preserve"> </w:t>
      </w:r>
      <w:r w:rsidRPr="002203FA">
        <w:rPr>
          <w:rFonts w:ascii="Miriam" w:eastAsia="Calibri" w:hAnsi="Miriam" w:cs="Miriam"/>
          <w:b/>
          <w:bCs/>
          <w:noProof w:val="0"/>
          <w:rtl/>
        </w:rPr>
        <w:t>כלכלית, והוא</w:t>
      </w:r>
      <w:r w:rsidRPr="002203FA">
        <w:rPr>
          <w:rFonts w:ascii="Miriam" w:eastAsia="Calibri" w:hAnsi="Miriam" w:cs="Miriam"/>
          <w:b/>
          <w:bCs/>
          <w:noProof w:val="0"/>
        </w:rPr>
        <w:t xml:space="preserve"> </w:t>
      </w:r>
      <w:r w:rsidRPr="002203FA">
        <w:rPr>
          <w:rFonts w:ascii="Miriam" w:eastAsia="Calibri" w:hAnsi="Miriam" w:cs="Miriam"/>
          <w:b/>
          <w:bCs/>
          <w:noProof w:val="0"/>
          <w:rtl/>
        </w:rPr>
        <w:t>אף מהווה</w:t>
      </w:r>
      <w:r w:rsidRPr="002203FA">
        <w:rPr>
          <w:rFonts w:ascii="Miriam" w:eastAsia="Calibri" w:hAnsi="Miriam" w:cs="Miriam"/>
          <w:b/>
          <w:bCs/>
          <w:noProof w:val="0"/>
        </w:rPr>
        <w:t xml:space="preserve"> </w:t>
      </w:r>
      <w:r w:rsidRPr="002203FA">
        <w:rPr>
          <w:rFonts w:ascii="Miriam" w:eastAsia="Calibri" w:hAnsi="Miriam" w:cs="Miriam"/>
          <w:b/>
          <w:bCs/>
          <w:noProof w:val="0"/>
          <w:rtl/>
        </w:rPr>
        <w:t>פלטפורמה</w:t>
      </w:r>
      <w:r w:rsidRPr="002203FA">
        <w:rPr>
          <w:rFonts w:ascii="Miriam" w:eastAsia="Calibri" w:hAnsi="Miriam" w:cs="Miriam"/>
          <w:b/>
          <w:bCs/>
          <w:noProof w:val="0"/>
        </w:rPr>
        <w:t xml:space="preserve"> </w:t>
      </w:r>
      <w:r w:rsidRPr="002203FA">
        <w:rPr>
          <w:rFonts w:ascii="Miriam" w:eastAsia="Calibri" w:hAnsi="Miriam" w:cs="Miriam"/>
          <w:b/>
          <w:bCs/>
          <w:noProof w:val="0"/>
          <w:rtl/>
        </w:rPr>
        <w:t>לעבירות</w:t>
      </w:r>
      <w:r w:rsidRPr="002203FA">
        <w:rPr>
          <w:rFonts w:ascii="Miriam" w:eastAsia="Calibri" w:hAnsi="Miriam" w:cs="Miriam"/>
          <w:b/>
          <w:bCs/>
          <w:noProof w:val="0"/>
        </w:rPr>
        <w:t xml:space="preserve"> </w:t>
      </w:r>
      <w:r w:rsidRPr="002203FA">
        <w:rPr>
          <w:rFonts w:ascii="Miriam" w:eastAsia="Calibri" w:hAnsi="Miriam" w:cs="Miriam"/>
          <w:b/>
          <w:bCs/>
          <w:noProof w:val="0"/>
          <w:rtl/>
        </w:rPr>
        <w:t>נוספות. כך</w:t>
      </w:r>
      <w:r w:rsidRPr="002203FA">
        <w:rPr>
          <w:rFonts w:ascii="Miriam" w:eastAsia="Calibri" w:hAnsi="Miriam" w:cs="Miriam"/>
          <w:b/>
          <w:bCs/>
          <w:noProof w:val="0"/>
        </w:rPr>
        <w:t xml:space="preserve"> </w:t>
      </w:r>
      <w:r w:rsidRPr="002203FA">
        <w:rPr>
          <w:rFonts w:ascii="Miriam" w:eastAsia="Calibri" w:hAnsi="Miriam" w:cs="Miriam"/>
          <w:b/>
          <w:bCs/>
          <w:noProof w:val="0"/>
          <w:rtl/>
        </w:rPr>
        <w:t>למשל, תופעה</w:t>
      </w:r>
      <w:r w:rsidRPr="002203FA">
        <w:rPr>
          <w:rFonts w:ascii="Miriam" w:eastAsia="Calibri" w:hAnsi="Miriam" w:cs="Miriam"/>
          <w:b/>
          <w:bCs/>
          <w:noProof w:val="0"/>
        </w:rPr>
        <w:t xml:space="preserve"> </w:t>
      </w:r>
      <w:r w:rsidRPr="002203FA">
        <w:rPr>
          <w:rFonts w:ascii="Miriam" w:eastAsia="Calibri" w:hAnsi="Miriam" w:cs="Miriam"/>
          <w:b/>
          <w:bCs/>
          <w:noProof w:val="0"/>
          <w:rtl/>
        </w:rPr>
        <w:t>של</w:t>
      </w:r>
      <w:r w:rsidRPr="002203FA">
        <w:rPr>
          <w:rFonts w:ascii="Miriam" w:eastAsia="Calibri" w:hAnsi="Miriam" w:cs="Miriam"/>
          <w:b/>
          <w:bCs/>
          <w:noProof w:val="0"/>
        </w:rPr>
        <w:t xml:space="preserve"> </w:t>
      </w:r>
      <w:r w:rsidRPr="002203FA">
        <w:rPr>
          <w:rFonts w:ascii="Miriam" w:eastAsia="Calibri" w:hAnsi="Miriam" w:cs="Miriam"/>
          <w:b/>
          <w:bCs/>
          <w:noProof w:val="0"/>
          <w:rtl/>
        </w:rPr>
        <w:t>אלימות</w:t>
      </w:r>
      <w:r w:rsidRPr="002203FA">
        <w:rPr>
          <w:rFonts w:ascii="Miriam" w:eastAsia="Calibri" w:hAnsi="Miriam" w:cs="Miriam"/>
          <w:b/>
          <w:bCs/>
          <w:noProof w:val="0"/>
        </w:rPr>
        <w:t xml:space="preserve"> </w:t>
      </w:r>
      <w:r w:rsidRPr="002203FA">
        <w:rPr>
          <w:rFonts w:ascii="Miriam" w:eastAsia="Calibri" w:hAnsi="Miriam" w:cs="Miriam"/>
          <w:b/>
          <w:bCs/>
          <w:noProof w:val="0"/>
          <w:rtl/>
        </w:rPr>
        <w:t>במשפחה</w:t>
      </w:r>
      <w:r w:rsidRPr="002203FA">
        <w:rPr>
          <w:rFonts w:ascii="Miriam" w:eastAsia="Calibri" w:hAnsi="Miriam" w:cs="Miriam"/>
          <w:b/>
          <w:bCs/>
          <w:noProof w:val="0"/>
        </w:rPr>
        <w:t xml:space="preserve"> </w:t>
      </w:r>
      <w:r w:rsidRPr="002203FA">
        <w:rPr>
          <w:rFonts w:ascii="Miriam" w:eastAsia="Calibri" w:hAnsi="Miriam" w:cs="Miriam"/>
          <w:b/>
          <w:bCs/>
          <w:noProof w:val="0"/>
          <w:rtl/>
        </w:rPr>
        <w:t>רווחת</w:t>
      </w:r>
      <w:r w:rsidRPr="002203FA">
        <w:rPr>
          <w:rFonts w:ascii="Miriam" w:eastAsia="Calibri" w:hAnsi="Miriam" w:cs="Miriam"/>
          <w:b/>
          <w:bCs/>
          <w:noProof w:val="0"/>
        </w:rPr>
        <w:t xml:space="preserve"> </w:t>
      </w:r>
      <w:r w:rsidRPr="002203FA">
        <w:rPr>
          <w:rFonts w:ascii="Miriam" w:eastAsia="Calibri" w:hAnsi="Miriam" w:cs="Miriam"/>
          <w:b/>
          <w:bCs/>
          <w:noProof w:val="0"/>
          <w:rtl/>
        </w:rPr>
        <w:t>יותר</w:t>
      </w:r>
      <w:r w:rsidRPr="002203FA">
        <w:rPr>
          <w:rFonts w:ascii="Miriam" w:eastAsia="Calibri" w:hAnsi="Miriam" w:cs="Miriam"/>
          <w:b/>
          <w:bCs/>
          <w:noProof w:val="0"/>
        </w:rPr>
        <w:t xml:space="preserve"> </w:t>
      </w:r>
      <w:r w:rsidRPr="002203FA">
        <w:rPr>
          <w:rFonts w:ascii="Miriam" w:eastAsia="Calibri" w:hAnsi="Miriam" w:cs="Miriam"/>
          <w:b/>
          <w:bCs/>
          <w:noProof w:val="0"/>
          <w:rtl/>
        </w:rPr>
        <w:t>בקרב משפחות</w:t>
      </w:r>
      <w:r w:rsidRPr="002203FA">
        <w:rPr>
          <w:rFonts w:ascii="Miriam" w:eastAsia="Calibri" w:hAnsi="Miriam" w:cs="Miriam"/>
          <w:b/>
          <w:bCs/>
          <w:noProof w:val="0"/>
        </w:rPr>
        <w:t xml:space="preserve"> </w:t>
      </w:r>
      <w:r w:rsidRPr="002203FA">
        <w:rPr>
          <w:rFonts w:ascii="Miriam" w:eastAsia="Calibri" w:hAnsi="Miriam" w:cs="Miriam"/>
          <w:b/>
          <w:bCs/>
          <w:noProof w:val="0"/>
          <w:rtl/>
        </w:rPr>
        <w:t>פוליגמיות (בין</w:t>
      </w:r>
      <w:r w:rsidRPr="002203FA">
        <w:rPr>
          <w:rFonts w:ascii="Miriam" w:eastAsia="Calibri" w:hAnsi="Miriam" w:cs="Miriam"/>
          <w:b/>
          <w:bCs/>
          <w:noProof w:val="0"/>
        </w:rPr>
        <w:t xml:space="preserve"> </w:t>
      </w:r>
      <w:r w:rsidRPr="002203FA">
        <w:rPr>
          <w:rFonts w:ascii="Miriam" w:eastAsia="Calibri" w:hAnsi="Miriam" w:cs="Miriam"/>
          <w:b/>
          <w:bCs/>
          <w:noProof w:val="0"/>
          <w:rtl/>
        </w:rPr>
        <w:t>אם</w:t>
      </w:r>
      <w:r w:rsidRPr="002203FA">
        <w:rPr>
          <w:rFonts w:ascii="Miriam" w:eastAsia="Calibri" w:hAnsi="Miriam" w:cs="Miriam"/>
          <w:b/>
          <w:bCs/>
          <w:noProof w:val="0"/>
        </w:rPr>
        <w:t xml:space="preserve"> </w:t>
      </w:r>
      <w:r w:rsidRPr="002203FA">
        <w:rPr>
          <w:rFonts w:ascii="Miriam" w:eastAsia="Calibri" w:hAnsi="Miriam" w:cs="Miriam"/>
          <w:b/>
          <w:bCs/>
          <w:noProof w:val="0"/>
          <w:rtl/>
        </w:rPr>
        <w:t>מדובר</w:t>
      </w:r>
      <w:r w:rsidRPr="002203FA">
        <w:rPr>
          <w:rFonts w:ascii="Miriam" w:eastAsia="Calibri" w:hAnsi="Miriam" w:cs="Miriam"/>
          <w:b/>
          <w:bCs/>
          <w:noProof w:val="0"/>
        </w:rPr>
        <w:t xml:space="preserve"> </w:t>
      </w:r>
      <w:r w:rsidRPr="002203FA">
        <w:rPr>
          <w:rFonts w:ascii="Miriam" w:eastAsia="Calibri" w:hAnsi="Miriam" w:cs="Miriam"/>
          <w:b/>
          <w:bCs/>
          <w:noProof w:val="0"/>
          <w:rtl/>
        </w:rPr>
        <w:t>באלימות</w:t>
      </w:r>
      <w:r w:rsidRPr="002203FA">
        <w:rPr>
          <w:rFonts w:ascii="Miriam" w:eastAsia="Calibri" w:hAnsi="Miriam" w:cs="Miriam"/>
          <w:b/>
          <w:bCs/>
          <w:noProof w:val="0"/>
        </w:rPr>
        <w:t xml:space="preserve"> </w:t>
      </w:r>
      <w:r w:rsidRPr="002203FA">
        <w:rPr>
          <w:rFonts w:ascii="Miriam" w:eastAsia="Calibri" w:hAnsi="Miriam" w:cs="Miriam"/>
          <w:b/>
          <w:bCs/>
          <w:noProof w:val="0"/>
          <w:rtl/>
        </w:rPr>
        <w:t>של</w:t>
      </w:r>
      <w:r w:rsidRPr="002203FA">
        <w:rPr>
          <w:rFonts w:ascii="Miriam" w:eastAsia="Calibri" w:hAnsi="Miriam" w:cs="Miriam"/>
          <w:b/>
          <w:bCs/>
          <w:noProof w:val="0"/>
        </w:rPr>
        <w:t xml:space="preserve"> </w:t>
      </w:r>
      <w:r w:rsidRPr="002203FA">
        <w:rPr>
          <w:rFonts w:ascii="Miriam" w:eastAsia="Calibri" w:hAnsi="Miriam" w:cs="Miriam"/>
          <w:b/>
          <w:bCs/>
          <w:noProof w:val="0"/>
          <w:rtl/>
        </w:rPr>
        <w:t>הבעלים</w:t>
      </w:r>
      <w:r w:rsidRPr="002203FA">
        <w:rPr>
          <w:rFonts w:ascii="Miriam" w:eastAsia="Calibri" w:hAnsi="Miriam" w:cs="Miriam"/>
          <w:b/>
          <w:bCs/>
          <w:noProof w:val="0"/>
        </w:rPr>
        <w:t xml:space="preserve"> </w:t>
      </w:r>
      <w:r w:rsidRPr="002203FA">
        <w:rPr>
          <w:rFonts w:ascii="Miriam" w:eastAsia="Calibri" w:hAnsi="Miriam" w:cs="Miriam"/>
          <w:b/>
          <w:bCs/>
          <w:noProof w:val="0"/>
          <w:rtl/>
        </w:rPr>
        <w:t>כלפי</w:t>
      </w:r>
      <w:r w:rsidRPr="002203FA">
        <w:rPr>
          <w:rFonts w:ascii="Miriam" w:eastAsia="Calibri" w:hAnsi="Miriam" w:cs="Miriam"/>
          <w:b/>
          <w:bCs/>
          <w:noProof w:val="0"/>
        </w:rPr>
        <w:t xml:space="preserve"> </w:t>
      </w:r>
      <w:r w:rsidRPr="002203FA">
        <w:rPr>
          <w:rFonts w:ascii="Miriam" w:eastAsia="Calibri" w:hAnsi="Miriam" w:cs="Miriam"/>
          <w:b/>
          <w:bCs/>
          <w:noProof w:val="0"/>
          <w:rtl/>
        </w:rPr>
        <w:t>נשותיהם, באלימות</w:t>
      </w:r>
      <w:r w:rsidRPr="002203FA">
        <w:rPr>
          <w:rFonts w:ascii="Miriam" w:eastAsia="Calibri" w:hAnsi="Miriam" w:cs="Miriam"/>
          <w:b/>
          <w:bCs/>
          <w:noProof w:val="0"/>
        </w:rPr>
        <w:t xml:space="preserve"> </w:t>
      </w:r>
      <w:r w:rsidRPr="002203FA">
        <w:rPr>
          <w:rFonts w:ascii="Miriam" w:eastAsia="Calibri" w:hAnsi="Miriam" w:cs="Miriam"/>
          <w:b/>
          <w:bCs/>
          <w:noProof w:val="0"/>
          <w:rtl/>
        </w:rPr>
        <w:t>של הנשים</w:t>
      </w:r>
      <w:r w:rsidRPr="002203FA">
        <w:rPr>
          <w:rFonts w:ascii="Miriam" w:eastAsia="Calibri" w:hAnsi="Miriam" w:cs="Miriam"/>
          <w:b/>
          <w:bCs/>
          <w:noProof w:val="0"/>
        </w:rPr>
        <w:t xml:space="preserve"> </w:t>
      </w:r>
      <w:r w:rsidRPr="002203FA">
        <w:rPr>
          <w:rFonts w:ascii="Miriam" w:eastAsia="Calibri" w:hAnsi="Miriam" w:cs="Miriam"/>
          <w:b/>
          <w:bCs/>
          <w:noProof w:val="0"/>
          <w:rtl/>
        </w:rPr>
        <w:t>אחת</w:t>
      </w:r>
      <w:r w:rsidRPr="002203FA">
        <w:rPr>
          <w:rFonts w:ascii="Miriam" w:eastAsia="Calibri" w:hAnsi="Miriam" w:cs="Miriam"/>
          <w:b/>
          <w:bCs/>
          <w:noProof w:val="0"/>
        </w:rPr>
        <w:t xml:space="preserve"> </w:t>
      </w:r>
      <w:r w:rsidRPr="002203FA">
        <w:rPr>
          <w:rFonts w:ascii="Miriam" w:eastAsia="Calibri" w:hAnsi="Miriam" w:cs="Miriam"/>
          <w:b/>
          <w:bCs/>
          <w:noProof w:val="0"/>
          <w:rtl/>
        </w:rPr>
        <w:t>כלפי</w:t>
      </w:r>
      <w:r w:rsidRPr="002203FA">
        <w:rPr>
          <w:rFonts w:ascii="Miriam" w:eastAsia="Calibri" w:hAnsi="Miriam" w:cs="Miriam"/>
          <w:b/>
          <w:bCs/>
          <w:noProof w:val="0"/>
        </w:rPr>
        <w:t xml:space="preserve"> </w:t>
      </w:r>
      <w:r w:rsidRPr="002203FA">
        <w:rPr>
          <w:rFonts w:ascii="Miriam" w:eastAsia="Calibri" w:hAnsi="Miriam" w:cs="Miriam"/>
          <w:b/>
          <w:bCs/>
          <w:noProof w:val="0"/>
          <w:rtl/>
        </w:rPr>
        <w:t>השנייה</w:t>
      </w:r>
      <w:r w:rsidRPr="002203FA">
        <w:rPr>
          <w:rFonts w:ascii="Miriam" w:eastAsia="Calibri" w:hAnsi="Miriam" w:cs="Miriam"/>
          <w:b/>
          <w:bCs/>
          <w:noProof w:val="0"/>
        </w:rPr>
        <w:t xml:space="preserve"> </w:t>
      </w:r>
      <w:r w:rsidRPr="002203FA">
        <w:rPr>
          <w:rFonts w:ascii="Miriam" w:eastAsia="Calibri" w:hAnsi="Miriam" w:cs="Miriam"/>
          <w:b/>
          <w:bCs/>
          <w:noProof w:val="0"/>
          <w:rtl/>
        </w:rPr>
        <w:t>או</w:t>
      </w:r>
      <w:r w:rsidRPr="002203FA">
        <w:rPr>
          <w:rFonts w:ascii="Miriam" w:eastAsia="Calibri" w:hAnsi="Miriam" w:cs="Miriam"/>
          <w:b/>
          <w:bCs/>
          <w:noProof w:val="0"/>
        </w:rPr>
        <w:t xml:space="preserve"> </w:t>
      </w:r>
      <w:r w:rsidRPr="002203FA">
        <w:rPr>
          <w:rFonts w:ascii="Miriam" w:eastAsia="Calibri" w:hAnsi="Miriam" w:cs="Miriam"/>
          <w:b/>
          <w:bCs/>
          <w:noProof w:val="0"/>
          <w:rtl/>
        </w:rPr>
        <w:t>בין</w:t>
      </w:r>
      <w:r w:rsidRPr="002203FA">
        <w:rPr>
          <w:rFonts w:ascii="Miriam" w:eastAsia="Calibri" w:hAnsi="Miriam" w:cs="Miriam"/>
          <w:b/>
          <w:bCs/>
          <w:noProof w:val="0"/>
        </w:rPr>
        <w:t xml:space="preserve"> </w:t>
      </w:r>
      <w:r w:rsidRPr="002203FA">
        <w:rPr>
          <w:rFonts w:ascii="Miriam" w:eastAsia="Calibri" w:hAnsi="Miriam" w:cs="Miriam"/>
          <w:b/>
          <w:bCs/>
          <w:noProof w:val="0"/>
          <w:rtl/>
        </w:rPr>
        <w:t>ההורים</w:t>
      </w:r>
      <w:r w:rsidRPr="002203FA">
        <w:rPr>
          <w:rFonts w:ascii="Miriam" w:eastAsia="Calibri" w:hAnsi="Miriam" w:cs="Miriam"/>
          <w:b/>
          <w:bCs/>
          <w:noProof w:val="0"/>
        </w:rPr>
        <w:t xml:space="preserve"> </w:t>
      </w:r>
      <w:r w:rsidRPr="002203FA">
        <w:rPr>
          <w:rFonts w:ascii="Miriam" w:eastAsia="Calibri" w:hAnsi="Miriam" w:cs="Miriam"/>
          <w:b/>
          <w:bCs/>
          <w:noProof w:val="0"/>
          <w:rtl/>
        </w:rPr>
        <w:t>לבין</w:t>
      </w:r>
      <w:r w:rsidRPr="002203FA">
        <w:rPr>
          <w:rFonts w:ascii="Miriam" w:eastAsia="Calibri" w:hAnsi="Miriam" w:cs="Miriam"/>
          <w:b/>
          <w:bCs/>
          <w:noProof w:val="0"/>
        </w:rPr>
        <w:t xml:space="preserve"> </w:t>
      </w:r>
      <w:r w:rsidRPr="002203FA">
        <w:rPr>
          <w:rFonts w:ascii="Miriam" w:eastAsia="Calibri" w:hAnsi="Miriam" w:cs="Miriam"/>
          <w:b/>
          <w:bCs/>
          <w:noProof w:val="0"/>
          <w:rtl/>
        </w:rPr>
        <w:t>הילדים). כמו</w:t>
      </w:r>
      <w:r w:rsidRPr="002203FA">
        <w:rPr>
          <w:rFonts w:ascii="Miriam" w:eastAsia="Calibri" w:hAnsi="Miriam" w:cs="Miriam"/>
          <w:b/>
          <w:bCs/>
          <w:noProof w:val="0"/>
        </w:rPr>
        <w:t xml:space="preserve"> </w:t>
      </w:r>
      <w:r w:rsidRPr="002203FA">
        <w:rPr>
          <w:rFonts w:ascii="Miriam" w:eastAsia="Calibri" w:hAnsi="Miriam" w:cs="Miriam"/>
          <w:b/>
          <w:bCs/>
          <w:noProof w:val="0"/>
          <w:rtl/>
        </w:rPr>
        <w:t>כן, התופעה</w:t>
      </w:r>
      <w:r w:rsidRPr="002203FA">
        <w:rPr>
          <w:rFonts w:ascii="Miriam" w:eastAsia="Calibri" w:hAnsi="Miriam" w:cs="Miriam"/>
          <w:b/>
          <w:bCs/>
          <w:noProof w:val="0"/>
        </w:rPr>
        <w:t xml:space="preserve"> </w:t>
      </w:r>
      <w:r w:rsidRPr="002203FA">
        <w:rPr>
          <w:rFonts w:ascii="Miriam" w:eastAsia="Calibri" w:hAnsi="Miriam" w:cs="Miriam"/>
          <w:b/>
          <w:bCs/>
          <w:noProof w:val="0"/>
          <w:rtl/>
        </w:rPr>
        <w:t>של</w:t>
      </w:r>
      <w:r w:rsidRPr="002203FA">
        <w:rPr>
          <w:rFonts w:ascii="Miriam" w:eastAsia="Calibri" w:hAnsi="Miriam" w:cs="Miriam"/>
          <w:b/>
          <w:bCs/>
          <w:noProof w:val="0"/>
        </w:rPr>
        <w:t xml:space="preserve"> </w:t>
      </w:r>
      <w:r w:rsidRPr="002203FA">
        <w:rPr>
          <w:rFonts w:ascii="Miriam" w:eastAsia="Calibri" w:hAnsi="Miriam" w:cs="Miriam"/>
          <w:b/>
          <w:bCs/>
          <w:noProof w:val="0"/>
          <w:rtl/>
        </w:rPr>
        <w:t>הזנחת</w:t>
      </w:r>
      <w:r w:rsidRPr="002203FA">
        <w:rPr>
          <w:rFonts w:ascii="Miriam" w:eastAsia="Calibri" w:hAnsi="Miriam" w:cs="Miriam"/>
          <w:b/>
          <w:bCs/>
          <w:noProof w:val="0"/>
        </w:rPr>
        <w:t xml:space="preserve"> </w:t>
      </w:r>
      <w:r w:rsidRPr="002203FA">
        <w:rPr>
          <w:rFonts w:ascii="Miriam" w:eastAsia="Calibri" w:hAnsi="Miriam" w:cs="Miriam"/>
          <w:b/>
          <w:bCs/>
          <w:noProof w:val="0"/>
          <w:rtl/>
        </w:rPr>
        <w:t>ילדים ופגיעה</w:t>
      </w:r>
      <w:r w:rsidRPr="002203FA">
        <w:rPr>
          <w:rFonts w:ascii="Miriam" w:eastAsia="Calibri" w:hAnsi="Miriam" w:cs="Miriam"/>
          <w:b/>
          <w:bCs/>
          <w:noProof w:val="0"/>
        </w:rPr>
        <w:t xml:space="preserve"> </w:t>
      </w:r>
      <w:r w:rsidRPr="002203FA">
        <w:rPr>
          <w:rFonts w:ascii="Miriam" w:eastAsia="Calibri" w:hAnsi="Miriam" w:cs="Miriam"/>
          <w:b/>
          <w:bCs/>
          <w:noProof w:val="0"/>
          <w:rtl/>
        </w:rPr>
        <w:t>בהם</w:t>
      </w:r>
      <w:r w:rsidRPr="002203FA">
        <w:rPr>
          <w:rFonts w:ascii="Miriam" w:eastAsia="Calibri" w:hAnsi="Miriam" w:cs="Miriam"/>
          <w:b/>
          <w:bCs/>
          <w:noProof w:val="0"/>
        </w:rPr>
        <w:t xml:space="preserve"> </w:t>
      </w:r>
      <w:r w:rsidRPr="002203FA">
        <w:rPr>
          <w:rFonts w:ascii="Miriam" w:eastAsia="Calibri" w:hAnsi="Miriam" w:cs="Miriam"/>
          <w:b/>
          <w:bCs/>
          <w:noProof w:val="0"/>
          <w:rtl/>
        </w:rPr>
        <w:t>רווחת</w:t>
      </w:r>
      <w:r w:rsidRPr="002203FA">
        <w:rPr>
          <w:rFonts w:ascii="Miriam" w:eastAsia="Calibri" w:hAnsi="Miriam" w:cs="Miriam"/>
          <w:b/>
          <w:bCs/>
          <w:noProof w:val="0"/>
        </w:rPr>
        <w:t xml:space="preserve"> </w:t>
      </w:r>
      <w:r w:rsidRPr="002203FA">
        <w:rPr>
          <w:rFonts w:ascii="Miriam" w:eastAsia="Calibri" w:hAnsi="Miriam" w:cs="Miriam"/>
          <w:b/>
          <w:bCs/>
          <w:noProof w:val="0"/>
          <w:rtl/>
        </w:rPr>
        <w:t>גם</w:t>
      </w:r>
      <w:r w:rsidRPr="002203FA">
        <w:rPr>
          <w:rFonts w:ascii="Miriam" w:eastAsia="Calibri" w:hAnsi="Miriam" w:cs="Miriam"/>
          <w:b/>
          <w:bCs/>
          <w:noProof w:val="0"/>
        </w:rPr>
        <w:t xml:space="preserve"> </w:t>
      </w:r>
      <w:r w:rsidRPr="002203FA">
        <w:rPr>
          <w:rFonts w:ascii="Miriam" w:eastAsia="Calibri" w:hAnsi="Miriam" w:cs="Miriam"/>
          <w:b/>
          <w:bCs/>
          <w:noProof w:val="0"/>
          <w:rtl/>
        </w:rPr>
        <w:t>היא</w:t>
      </w:r>
      <w:r w:rsidRPr="002203FA">
        <w:rPr>
          <w:rFonts w:ascii="Miriam" w:eastAsia="Calibri" w:hAnsi="Miriam" w:cs="Miriam"/>
          <w:b/>
          <w:bCs/>
          <w:noProof w:val="0"/>
        </w:rPr>
        <w:t xml:space="preserve"> </w:t>
      </w:r>
      <w:r w:rsidRPr="002203FA">
        <w:rPr>
          <w:rFonts w:ascii="Miriam" w:eastAsia="Calibri" w:hAnsi="Miriam" w:cs="Miriam"/>
          <w:b/>
          <w:bCs/>
          <w:noProof w:val="0"/>
          <w:rtl/>
        </w:rPr>
        <w:t>בקרב</w:t>
      </w:r>
      <w:r w:rsidRPr="002203FA">
        <w:rPr>
          <w:rFonts w:ascii="Miriam" w:eastAsia="Calibri" w:hAnsi="Miriam" w:cs="Miriam"/>
          <w:b/>
          <w:bCs/>
          <w:noProof w:val="0"/>
        </w:rPr>
        <w:t xml:space="preserve"> </w:t>
      </w:r>
      <w:r w:rsidRPr="002203FA">
        <w:rPr>
          <w:rFonts w:ascii="Miriam" w:eastAsia="Calibri" w:hAnsi="Miriam" w:cs="Miriam"/>
          <w:b/>
          <w:bCs/>
          <w:noProof w:val="0"/>
          <w:rtl/>
        </w:rPr>
        <w:t>משפחות</w:t>
      </w:r>
      <w:r w:rsidRPr="002203FA">
        <w:rPr>
          <w:rFonts w:ascii="Miriam" w:eastAsia="Calibri" w:hAnsi="Miriam" w:cs="Miriam"/>
          <w:b/>
          <w:bCs/>
          <w:noProof w:val="0"/>
        </w:rPr>
        <w:t xml:space="preserve"> </w:t>
      </w:r>
      <w:r w:rsidRPr="002203FA">
        <w:rPr>
          <w:rFonts w:ascii="Miriam" w:eastAsia="Calibri" w:hAnsi="Miriam" w:cs="Miriam"/>
          <w:b/>
          <w:bCs/>
          <w:noProof w:val="0"/>
          <w:rtl/>
        </w:rPr>
        <w:t>פוליגמיות. היבט</w:t>
      </w:r>
      <w:r w:rsidRPr="002203FA">
        <w:rPr>
          <w:rFonts w:ascii="Miriam" w:eastAsia="Calibri" w:hAnsi="Miriam" w:cs="Miriam"/>
          <w:b/>
          <w:bCs/>
          <w:noProof w:val="0"/>
        </w:rPr>
        <w:t xml:space="preserve"> </w:t>
      </w:r>
      <w:r w:rsidRPr="002203FA">
        <w:rPr>
          <w:rFonts w:ascii="Miriam" w:eastAsia="Calibri" w:hAnsi="Miriam" w:cs="Miriam"/>
          <w:b/>
          <w:bCs/>
          <w:noProof w:val="0"/>
          <w:rtl/>
        </w:rPr>
        <w:t>בעייתי</w:t>
      </w:r>
      <w:r w:rsidRPr="002203FA">
        <w:rPr>
          <w:rFonts w:ascii="Miriam" w:eastAsia="Calibri" w:hAnsi="Miriam" w:cs="Miriam"/>
          <w:b/>
          <w:bCs/>
          <w:noProof w:val="0"/>
        </w:rPr>
        <w:t xml:space="preserve"> </w:t>
      </w:r>
      <w:r w:rsidRPr="002203FA">
        <w:rPr>
          <w:rFonts w:ascii="Miriam" w:eastAsia="Calibri" w:hAnsi="Miriam" w:cs="Miriam"/>
          <w:b/>
          <w:bCs/>
          <w:noProof w:val="0"/>
          <w:rtl/>
        </w:rPr>
        <w:t>נוסף</w:t>
      </w:r>
      <w:r w:rsidRPr="002203FA">
        <w:rPr>
          <w:rFonts w:ascii="Miriam" w:eastAsia="Calibri" w:hAnsi="Miriam" w:cs="Miriam"/>
          <w:b/>
          <w:bCs/>
          <w:noProof w:val="0"/>
        </w:rPr>
        <w:t xml:space="preserve"> </w:t>
      </w:r>
      <w:r w:rsidRPr="002203FA">
        <w:rPr>
          <w:rFonts w:ascii="Miriam" w:eastAsia="Calibri" w:hAnsi="Miriam" w:cs="Miriam"/>
          <w:b/>
          <w:bCs/>
          <w:noProof w:val="0"/>
          <w:rtl/>
        </w:rPr>
        <w:t>של</w:t>
      </w:r>
      <w:r w:rsidRPr="002203FA">
        <w:rPr>
          <w:rFonts w:ascii="Miriam" w:eastAsia="Calibri" w:hAnsi="Miriam" w:cs="Miriam"/>
          <w:b/>
          <w:bCs/>
          <w:noProof w:val="0"/>
        </w:rPr>
        <w:t xml:space="preserve"> </w:t>
      </w:r>
      <w:r w:rsidRPr="002203FA">
        <w:rPr>
          <w:rFonts w:ascii="Miriam" w:eastAsia="Calibri" w:hAnsi="Miriam" w:cs="Miriam"/>
          <w:b/>
          <w:bCs/>
          <w:noProof w:val="0"/>
          <w:rtl/>
        </w:rPr>
        <w:t>תופעת</w:t>
      </w:r>
      <w:r w:rsidRPr="002203FA">
        <w:rPr>
          <w:rFonts w:ascii="Miriam" w:eastAsia="Calibri" w:hAnsi="Miriam" w:cs="Miriam"/>
          <w:b/>
          <w:bCs/>
          <w:noProof w:val="0"/>
        </w:rPr>
        <w:t xml:space="preserve"> </w:t>
      </w:r>
      <w:r w:rsidRPr="002203FA">
        <w:rPr>
          <w:rFonts w:ascii="Miriam" w:eastAsia="Calibri" w:hAnsi="Miriam" w:cs="Miriam"/>
          <w:b/>
          <w:bCs/>
          <w:noProof w:val="0"/>
          <w:rtl/>
        </w:rPr>
        <w:t>ריבוי הנישואין</w:t>
      </w:r>
      <w:r w:rsidRPr="002203FA">
        <w:rPr>
          <w:rFonts w:ascii="Miriam" w:eastAsia="Calibri" w:hAnsi="Miriam" w:cs="Miriam"/>
          <w:b/>
          <w:bCs/>
          <w:noProof w:val="0"/>
        </w:rPr>
        <w:t xml:space="preserve"> </w:t>
      </w:r>
      <w:r w:rsidRPr="002203FA">
        <w:rPr>
          <w:rFonts w:ascii="Miriam" w:eastAsia="Calibri" w:hAnsi="Miriam" w:cs="Miriam"/>
          <w:b/>
          <w:bCs/>
          <w:noProof w:val="0"/>
          <w:rtl/>
        </w:rPr>
        <w:t>הוא</w:t>
      </w:r>
      <w:r w:rsidRPr="002203FA">
        <w:rPr>
          <w:rFonts w:ascii="Miriam" w:eastAsia="Calibri" w:hAnsi="Miriam" w:cs="Miriam"/>
          <w:b/>
          <w:bCs/>
          <w:noProof w:val="0"/>
        </w:rPr>
        <w:t xml:space="preserve"> </w:t>
      </w:r>
      <w:r w:rsidRPr="002203FA">
        <w:rPr>
          <w:rFonts w:ascii="Miriam" w:eastAsia="Calibri" w:hAnsi="Miriam" w:cs="Miriam"/>
          <w:b/>
          <w:bCs/>
          <w:noProof w:val="0"/>
          <w:rtl/>
        </w:rPr>
        <w:t>נישואין</w:t>
      </w:r>
      <w:r w:rsidRPr="002203FA">
        <w:rPr>
          <w:rFonts w:ascii="Miriam" w:eastAsia="Calibri" w:hAnsi="Miriam" w:cs="Miriam"/>
          <w:b/>
          <w:bCs/>
          <w:noProof w:val="0"/>
        </w:rPr>
        <w:t xml:space="preserve"> </w:t>
      </w:r>
      <w:r w:rsidRPr="002203FA">
        <w:rPr>
          <w:rFonts w:ascii="Miriam" w:eastAsia="Calibri" w:hAnsi="Miriam" w:cs="Miriam"/>
          <w:b/>
          <w:bCs/>
          <w:noProof w:val="0"/>
          <w:rtl/>
        </w:rPr>
        <w:t>שניים</w:t>
      </w:r>
      <w:r w:rsidRPr="002203FA">
        <w:rPr>
          <w:rFonts w:ascii="Miriam" w:eastAsia="Calibri" w:hAnsi="Miriam" w:cs="Miriam"/>
          <w:b/>
          <w:bCs/>
          <w:noProof w:val="0"/>
        </w:rPr>
        <w:t xml:space="preserve"> </w:t>
      </w:r>
      <w:r w:rsidRPr="002203FA">
        <w:rPr>
          <w:rFonts w:ascii="Miriam" w:eastAsia="Calibri" w:hAnsi="Miriam" w:cs="Miriam"/>
          <w:b/>
          <w:bCs/>
          <w:noProof w:val="0"/>
          <w:rtl/>
        </w:rPr>
        <w:t>או</w:t>
      </w:r>
      <w:r w:rsidRPr="002203FA">
        <w:rPr>
          <w:rFonts w:ascii="Miriam" w:eastAsia="Calibri" w:hAnsi="Miriam" w:cs="Miriam"/>
          <w:b/>
          <w:bCs/>
          <w:noProof w:val="0"/>
        </w:rPr>
        <w:t xml:space="preserve"> </w:t>
      </w:r>
      <w:r w:rsidRPr="002203FA">
        <w:rPr>
          <w:rFonts w:ascii="Miriam" w:eastAsia="Calibri" w:hAnsi="Miriam" w:cs="Miriam"/>
          <w:b/>
          <w:bCs/>
          <w:noProof w:val="0"/>
          <w:rtl/>
        </w:rPr>
        <w:t>יותר</w:t>
      </w:r>
      <w:r w:rsidRPr="002203FA">
        <w:rPr>
          <w:rFonts w:ascii="Miriam" w:eastAsia="Calibri" w:hAnsi="Miriam" w:cs="Miriam"/>
          <w:b/>
          <w:bCs/>
          <w:noProof w:val="0"/>
        </w:rPr>
        <w:t xml:space="preserve"> </w:t>
      </w:r>
      <w:r w:rsidRPr="002203FA">
        <w:rPr>
          <w:rFonts w:ascii="Miriam" w:eastAsia="Calibri" w:hAnsi="Miriam" w:cs="Miriam"/>
          <w:b/>
          <w:bCs/>
          <w:noProof w:val="0"/>
          <w:rtl/>
        </w:rPr>
        <w:t>לנשים</w:t>
      </w:r>
      <w:r w:rsidRPr="002203FA">
        <w:rPr>
          <w:rFonts w:ascii="Miriam" w:eastAsia="Calibri" w:hAnsi="Miriam" w:cs="Miriam"/>
          <w:b/>
          <w:bCs/>
          <w:noProof w:val="0"/>
        </w:rPr>
        <w:t xml:space="preserve"> </w:t>
      </w:r>
      <w:r w:rsidRPr="002203FA">
        <w:rPr>
          <w:rFonts w:ascii="Miriam" w:eastAsia="Calibri" w:hAnsi="Miriam" w:cs="Miriam"/>
          <w:b/>
          <w:bCs/>
          <w:noProof w:val="0"/>
          <w:rtl/>
        </w:rPr>
        <w:t>פלסטינאיות</w:t>
      </w:r>
      <w:r w:rsidRPr="002203FA">
        <w:rPr>
          <w:rFonts w:ascii="Miriam" w:eastAsia="Calibri" w:hAnsi="Miriam" w:cs="Miriam"/>
          <w:b/>
          <w:bCs/>
          <w:noProof w:val="0"/>
        </w:rPr>
        <w:t xml:space="preserve"> </w:t>
      </w:r>
      <w:r w:rsidRPr="002203FA">
        <w:rPr>
          <w:rFonts w:ascii="Miriam" w:eastAsia="Calibri" w:hAnsi="Miriam" w:cs="Miriam"/>
          <w:b/>
          <w:bCs/>
          <w:noProof w:val="0"/>
          <w:rtl/>
        </w:rPr>
        <w:t>שאין</w:t>
      </w:r>
      <w:r w:rsidRPr="002203FA">
        <w:rPr>
          <w:rFonts w:ascii="Miriam" w:eastAsia="Calibri" w:hAnsi="Miriam" w:cs="Miriam"/>
          <w:b/>
          <w:bCs/>
          <w:noProof w:val="0"/>
        </w:rPr>
        <w:t xml:space="preserve"> </w:t>
      </w:r>
      <w:r w:rsidRPr="002203FA">
        <w:rPr>
          <w:rFonts w:ascii="Miriam" w:eastAsia="Calibri" w:hAnsi="Miriam" w:cs="Miriam"/>
          <w:b/>
          <w:bCs/>
          <w:noProof w:val="0"/>
          <w:rtl/>
        </w:rPr>
        <w:t>להן</w:t>
      </w:r>
      <w:r w:rsidRPr="002203FA">
        <w:rPr>
          <w:rFonts w:ascii="Miriam" w:eastAsia="Calibri" w:hAnsi="Miriam" w:cs="Miriam"/>
          <w:b/>
          <w:bCs/>
          <w:noProof w:val="0"/>
        </w:rPr>
        <w:t xml:space="preserve"> </w:t>
      </w:r>
      <w:r w:rsidRPr="002203FA">
        <w:rPr>
          <w:rFonts w:ascii="Miriam" w:eastAsia="Calibri" w:hAnsi="Miriam" w:cs="Miriam"/>
          <w:b/>
          <w:bCs/>
          <w:noProof w:val="0"/>
          <w:rtl/>
        </w:rPr>
        <w:t>מעמד</w:t>
      </w:r>
      <w:r w:rsidRPr="002203FA">
        <w:rPr>
          <w:rFonts w:ascii="Miriam" w:eastAsia="Calibri" w:hAnsi="Miriam" w:cs="Miriam"/>
          <w:b/>
          <w:bCs/>
          <w:noProof w:val="0"/>
        </w:rPr>
        <w:t xml:space="preserve"> </w:t>
      </w:r>
      <w:r w:rsidRPr="002203FA">
        <w:rPr>
          <w:rFonts w:ascii="Miriam" w:eastAsia="Calibri" w:hAnsi="Miriam" w:cs="Miriam"/>
          <w:b/>
          <w:bCs/>
          <w:noProof w:val="0"/>
          <w:rtl/>
        </w:rPr>
        <w:t>חוקי</w:t>
      </w:r>
      <w:r w:rsidRPr="002203FA">
        <w:rPr>
          <w:rFonts w:ascii="Miriam" w:eastAsia="Calibri" w:hAnsi="Miriam" w:cs="Miriam"/>
          <w:b/>
          <w:bCs/>
          <w:noProof w:val="0"/>
        </w:rPr>
        <w:t xml:space="preserve"> </w:t>
      </w:r>
      <w:r w:rsidRPr="002203FA">
        <w:rPr>
          <w:rFonts w:ascii="Miriam" w:eastAsia="Calibri" w:hAnsi="Miriam" w:cs="Miriam"/>
          <w:b/>
          <w:bCs/>
          <w:noProof w:val="0"/>
          <w:rtl/>
        </w:rPr>
        <w:t>בישראל</w:t>
      </w:r>
      <w:r w:rsidRPr="002203FA">
        <w:rPr>
          <w:rFonts w:ascii="Miriam" w:eastAsia="Calibri" w:hAnsi="Miriam" w:cs="Miriam"/>
          <w:b/>
          <w:bCs/>
          <w:noProof w:val="0"/>
        </w:rPr>
        <w:t xml:space="preserve"> </w:t>
      </w:r>
      <w:r w:rsidRPr="002203FA">
        <w:rPr>
          <w:rFonts w:ascii="Miriam" w:eastAsia="Calibri" w:hAnsi="Miriam" w:cs="Miriam"/>
          <w:b/>
          <w:bCs/>
          <w:noProof w:val="0"/>
          <w:rtl/>
        </w:rPr>
        <w:t>או לנשים</w:t>
      </w:r>
      <w:r w:rsidRPr="002203FA">
        <w:rPr>
          <w:rFonts w:ascii="Miriam" w:eastAsia="Calibri" w:hAnsi="Miriam" w:cs="Miriam"/>
          <w:b/>
          <w:bCs/>
          <w:noProof w:val="0"/>
        </w:rPr>
        <w:t xml:space="preserve"> </w:t>
      </w:r>
      <w:r w:rsidRPr="002203FA">
        <w:rPr>
          <w:rFonts w:ascii="Miriam" w:eastAsia="Calibri" w:hAnsi="Miriam" w:cs="Miriam"/>
          <w:b/>
          <w:bCs/>
          <w:noProof w:val="0"/>
          <w:rtl/>
        </w:rPr>
        <w:t>חסרות</w:t>
      </w:r>
      <w:r w:rsidRPr="002203FA">
        <w:rPr>
          <w:rFonts w:ascii="Miriam" w:eastAsia="Calibri" w:hAnsi="Miriam" w:cs="Miriam"/>
          <w:b/>
          <w:bCs/>
          <w:noProof w:val="0"/>
        </w:rPr>
        <w:t xml:space="preserve"> </w:t>
      </w:r>
      <w:r w:rsidRPr="002203FA">
        <w:rPr>
          <w:rFonts w:ascii="Miriam" w:eastAsia="Calibri" w:hAnsi="Miriam" w:cs="Miriam"/>
          <w:b/>
          <w:bCs/>
          <w:noProof w:val="0"/>
          <w:rtl/>
        </w:rPr>
        <w:t>מעמד</w:t>
      </w:r>
      <w:r w:rsidRPr="002203FA">
        <w:rPr>
          <w:rFonts w:ascii="Miriam" w:eastAsia="Calibri" w:hAnsi="Miriam" w:cs="Miriam"/>
          <w:b/>
          <w:bCs/>
          <w:noProof w:val="0"/>
        </w:rPr>
        <w:t xml:space="preserve"> </w:t>
      </w:r>
      <w:r w:rsidRPr="002203FA">
        <w:rPr>
          <w:rFonts w:ascii="Miriam" w:eastAsia="Calibri" w:hAnsi="Miriam" w:cs="Miriam"/>
          <w:b/>
          <w:bCs/>
          <w:noProof w:val="0"/>
          <w:rtl/>
        </w:rPr>
        <w:t>חוקי</w:t>
      </w:r>
      <w:r w:rsidRPr="002203FA">
        <w:rPr>
          <w:rFonts w:ascii="Miriam" w:eastAsia="Calibri" w:hAnsi="Miriam" w:cs="Miriam"/>
          <w:b/>
          <w:bCs/>
          <w:noProof w:val="0"/>
        </w:rPr>
        <w:t xml:space="preserve"> </w:t>
      </w:r>
      <w:r w:rsidRPr="002203FA">
        <w:rPr>
          <w:rFonts w:ascii="Miriam" w:eastAsia="Calibri" w:hAnsi="Miriam" w:cs="Miriam"/>
          <w:b/>
          <w:bCs/>
          <w:noProof w:val="0"/>
          <w:rtl/>
        </w:rPr>
        <w:t>אחרות. נשים</w:t>
      </w:r>
      <w:r w:rsidRPr="002203FA">
        <w:rPr>
          <w:rFonts w:ascii="Miriam" w:eastAsia="Calibri" w:hAnsi="Miriam" w:cs="Miriam"/>
          <w:b/>
          <w:bCs/>
          <w:noProof w:val="0"/>
        </w:rPr>
        <w:t xml:space="preserve"> </w:t>
      </w:r>
      <w:r w:rsidRPr="002203FA">
        <w:rPr>
          <w:rFonts w:ascii="Miriam" w:eastAsia="Calibri" w:hAnsi="Miriam" w:cs="Miriam"/>
          <w:b/>
          <w:bCs/>
          <w:noProof w:val="0"/>
          <w:rtl/>
        </w:rPr>
        <w:t>אלו</w:t>
      </w:r>
      <w:r w:rsidRPr="002203FA">
        <w:rPr>
          <w:rFonts w:ascii="Miriam" w:eastAsia="Calibri" w:hAnsi="Miriam" w:cs="Miriam"/>
          <w:b/>
          <w:bCs/>
          <w:noProof w:val="0"/>
        </w:rPr>
        <w:t xml:space="preserve"> </w:t>
      </w:r>
      <w:r w:rsidRPr="002203FA">
        <w:rPr>
          <w:rFonts w:ascii="Miriam" w:eastAsia="Calibri" w:hAnsi="Miriam" w:cs="Miriam"/>
          <w:b/>
          <w:bCs/>
          <w:noProof w:val="0"/>
          <w:rtl/>
        </w:rPr>
        <w:t>מצויות</w:t>
      </w:r>
      <w:r w:rsidRPr="002203FA">
        <w:rPr>
          <w:rFonts w:ascii="Miriam" w:eastAsia="Calibri" w:hAnsi="Miriam" w:cs="Miriam"/>
          <w:b/>
          <w:bCs/>
          <w:noProof w:val="0"/>
        </w:rPr>
        <w:t xml:space="preserve"> </w:t>
      </w:r>
      <w:r w:rsidRPr="002203FA">
        <w:rPr>
          <w:rFonts w:ascii="Miriam" w:eastAsia="Calibri" w:hAnsi="Miriam" w:cs="Miriam"/>
          <w:b/>
          <w:bCs/>
          <w:noProof w:val="0"/>
          <w:rtl/>
        </w:rPr>
        <w:t>בישראל</w:t>
      </w:r>
      <w:r w:rsidRPr="002203FA">
        <w:rPr>
          <w:rFonts w:ascii="Miriam" w:eastAsia="Calibri" w:hAnsi="Miriam" w:cs="Miriam"/>
          <w:b/>
          <w:bCs/>
          <w:noProof w:val="0"/>
        </w:rPr>
        <w:t xml:space="preserve"> </w:t>
      </w:r>
      <w:r w:rsidRPr="002203FA">
        <w:rPr>
          <w:rFonts w:ascii="Miriam" w:eastAsia="Calibri" w:hAnsi="Miriam" w:cs="Miriam"/>
          <w:b/>
          <w:bCs/>
          <w:noProof w:val="0"/>
          <w:rtl/>
        </w:rPr>
        <w:t>ללא</w:t>
      </w:r>
      <w:r w:rsidRPr="002203FA">
        <w:rPr>
          <w:rFonts w:ascii="Miriam" w:eastAsia="Calibri" w:hAnsi="Miriam" w:cs="Miriam"/>
          <w:b/>
          <w:bCs/>
          <w:noProof w:val="0"/>
        </w:rPr>
        <w:t xml:space="preserve"> </w:t>
      </w:r>
      <w:r w:rsidRPr="002203FA">
        <w:rPr>
          <w:rFonts w:ascii="Miriam" w:eastAsia="Calibri" w:hAnsi="Miriam" w:cs="Miriam"/>
          <w:b/>
          <w:bCs/>
          <w:noProof w:val="0"/>
          <w:rtl/>
        </w:rPr>
        <w:t>כל</w:t>
      </w:r>
      <w:r w:rsidRPr="002203FA">
        <w:rPr>
          <w:rFonts w:ascii="Miriam" w:eastAsia="Calibri" w:hAnsi="Miriam" w:cs="Miriam"/>
          <w:b/>
          <w:bCs/>
          <w:noProof w:val="0"/>
        </w:rPr>
        <w:t xml:space="preserve"> </w:t>
      </w:r>
      <w:r w:rsidRPr="002203FA">
        <w:rPr>
          <w:rFonts w:ascii="Miriam" w:eastAsia="Calibri" w:hAnsi="Miriam" w:cs="Miriam"/>
          <w:b/>
          <w:bCs/>
          <w:noProof w:val="0"/>
          <w:rtl/>
        </w:rPr>
        <w:t>עורף</w:t>
      </w:r>
      <w:r w:rsidRPr="002203FA">
        <w:rPr>
          <w:rFonts w:ascii="Miriam" w:eastAsia="Calibri" w:hAnsi="Miriam" w:cs="Miriam"/>
          <w:b/>
          <w:bCs/>
          <w:noProof w:val="0"/>
        </w:rPr>
        <w:t xml:space="preserve"> </w:t>
      </w:r>
      <w:r w:rsidRPr="002203FA">
        <w:rPr>
          <w:rFonts w:ascii="Miriam" w:eastAsia="Calibri" w:hAnsi="Miriam" w:cs="Miriam"/>
          <w:b/>
          <w:bCs/>
          <w:noProof w:val="0"/>
          <w:rtl/>
        </w:rPr>
        <w:t>משפחתי</w:t>
      </w:r>
      <w:r w:rsidRPr="002203FA">
        <w:rPr>
          <w:rFonts w:ascii="Miriam" w:eastAsia="Calibri" w:hAnsi="Miriam" w:cs="Miriam"/>
          <w:b/>
          <w:bCs/>
          <w:noProof w:val="0"/>
        </w:rPr>
        <w:t xml:space="preserve"> </w:t>
      </w:r>
      <w:r w:rsidRPr="002203FA">
        <w:rPr>
          <w:rFonts w:ascii="Miriam" w:eastAsia="Calibri" w:hAnsi="Miriam" w:cs="Miriam"/>
          <w:b/>
          <w:bCs/>
          <w:noProof w:val="0"/>
          <w:rtl/>
        </w:rPr>
        <w:t>וכפועל יוצא</w:t>
      </w:r>
      <w:r w:rsidRPr="002203FA">
        <w:rPr>
          <w:rFonts w:ascii="Miriam" w:eastAsia="Calibri" w:hAnsi="Miriam" w:cs="Miriam"/>
          <w:b/>
          <w:bCs/>
          <w:noProof w:val="0"/>
        </w:rPr>
        <w:t xml:space="preserve"> </w:t>
      </w:r>
      <w:r w:rsidRPr="002203FA">
        <w:rPr>
          <w:rFonts w:ascii="Miriam" w:eastAsia="Calibri" w:hAnsi="Miriam" w:cs="Miriam"/>
          <w:b/>
          <w:bCs/>
          <w:noProof w:val="0"/>
          <w:rtl/>
        </w:rPr>
        <w:t>מכך</w:t>
      </w:r>
      <w:r w:rsidRPr="002203FA">
        <w:rPr>
          <w:rFonts w:ascii="Miriam" w:eastAsia="Calibri" w:hAnsi="Miriam" w:cs="Miriam"/>
          <w:b/>
          <w:bCs/>
          <w:noProof w:val="0"/>
        </w:rPr>
        <w:t xml:space="preserve"> </w:t>
      </w:r>
      <w:r w:rsidRPr="002203FA">
        <w:rPr>
          <w:rFonts w:ascii="Miriam" w:eastAsia="Calibri" w:hAnsi="Miriam" w:cs="Miriam"/>
          <w:b/>
          <w:bCs/>
          <w:noProof w:val="0"/>
          <w:rtl/>
        </w:rPr>
        <w:t>ללא</w:t>
      </w:r>
      <w:r w:rsidRPr="002203FA">
        <w:rPr>
          <w:rFonts w:ascii="Miriam" w:eastAsia="Calibri" w:hAnsi="Miriam" w:cs="Miriam"/>
          <w:b/>
          <w:bCs/>
          <w:noProof w:val="0"/>
        </w:rPr>
        <w:t xml:space="preserve"> </w:t>
      </w:r>
      <w:r w:rsidRPr="002203FA">
        <w:rPr>
          <w:rFonts w:ascii="Miriam" w:eastAsia="Calibri" w:hAnsi="Miriam" w:cs="Miriam"/>
          <w:b/>
          <w:bCs/>
          <w:noProof w:val="0"/>
          <w:rtl/>
        </w:rPr>
        <w:t>כל</w:t>
      </w:r>
      <w:r w:rsidRPr="002203FA">
        <w:rPr>
          <w:rFonts w:ascii="Miriam" w:eastAsia="Calibri" w:hAnsi="Miriam" w:cs="Miriam"/>
          <w:b/>
          <w:bCs/>
          <w:noProof w:val="0"/>
        </w:rPr>
        <w:t xml:space="preserve"> </w:t>
      </w:r>
      <w:r w:rsidRPr="002203FA">
        <w:rPr>
          <w:rFonts w:ascii="Miriam" w:eastAsia="Calibri" w:hAnsi="Miriam" w:cs="Miriam"/>
          <w:b/>
          <w:bCs/>
          <w:noProof w:val="0"/>
          <w:rtl/>
        </w:rPr>
        <w:t>יכולת</w:t>
      </w:r>
      <w:r w:rsidRPr="002203FA">
        <w:rPr>
          <w:rFonts w:ascii="Miriam" w:eastAsia="Calibri" w:hAnsi="Miriam" w:cs="Miriam"/>
          <w:b/>
          <w:bCs/>
          <w:noProof w:val="0"/>
        </w:rPr>
        <w:t xml:space="preserve"> </w:t>
      </w:r>
      <w:r w:rsidRPr="002203FA">
        <w:rPr>
          <w:rFonts w:ascii="Miriam" w:eastAsia="Calibri" w:hAnsi="Miriam" w:cs="Miriam"/>
          <w:b/>
          <w:bCs/>
          <w:noProof w:val="0"/>
          <w:rtl/>
        </w:rPr>
        <w:t>הגנה</w:t>
      </w:r>
      <w:r w:rsidRPr="002203FA">
        <w:rPr>
          <w:rFonts w:ascii="Miriam" w:eastAsia="Calibri" w:hAnsi="Miriam" w:cs="Miriam"/>
          <w:b/>
          <w:bCs/>
          <w:noProof w:val="0"/>
        </w:rPr>
        <w:t xml:space="preserve"> </w:t>
      </w:r>
      <w:r w:rsidRPr="002203FA">
        <w:rPr>
          <w:rFonts w:ascii="Miriam" w:eastAsia="Calibri" w:hAnsi="Miriam" w:cs="Miriam"/>
          <w:b/>
          <w:bCs/>
          <w:noProof w:val="0"/>
          <w:rtl/>
        </w:rPr>
        <w:t>בסיסית</w:t>
      </w:r>
      <w:r w:rsidRPr="002203FA">
        <w:rPr>
          <w:rFonts w:ascii="Miriam" w:eastAsia="Calibri" w:hAnsi="Miriam" w:cs="Miriam"/>
          <w:b/>
          <w:bCs/>
          <w:noProof w:val="0"/>
        </w:rPr>
        <w:t xml:space="preserve"> </w:t>
      </w:r>
      <w:r w:rsidRPr="002203FA">
        <w:rPr>
          <w:rFonts w:ascii="Miriam" w:eastAsia="Calibri" w:hAnsi="Miriam" w:cs="Miriam"/>
          <w:b/>
          <w:bCs/>
          <w:noProof w:val="0"/>
          <w:rtl/>
        </w:rPr>
        <w:t>ולפיכך</w:t>
      </w:r>
      <w:r w:rsidRPr="002203FA">
        <w:rPr>
          <w:rFonts w:ascii="Miriam" w:eastAsia="Calibri" w:hAnsi="Miriam" w:cs="Miriam"/>
          <w:b/>
          <w:bCs/>
          <w:noProof w:val="0"/>
        </w:rPr>
        <w:t xml:space="preserve"> </w:t>
      </w:r>
      <w:r w:rsidRPr="002203FA">
        <w:rPr>
          <w:rFonts w:ascii="Miriam" w:eastAsia="Calibri" w:hAnsi="Miriam" w:cs="Miriam"/>
          <w:b/>
          <w:bCs/>
          <w:noProof w:val="0"/>
          <w:rtl/>
        </w:rPr>
        <w:t>חשופות</w:t>
      </w:r>
      <w:r w:rsidRPr="002203FA">
        <w:rPr>
          <w:rFonts w:ascii="Miriam" w:eastAsia="Calibri" w:hAnsi="Miriam" w:cs="Miriam"/>
          <w:b/>
          <w:bCs/>
          <w:noProof w:val="0"/>
        </w:rPr>
        <w:t xml:space="preserve"> </w:t>
      </w:r>
      <w:r w:rsidRPr="002203FA">
        <w:rPr>
          <w:rFonts w:ascii="Miriam" w:eastAsia="Calibri" w:hAnsi="Miriam" w:cs="Miriam"/>
          <w:b/>
          <w:bCs/>
          <w:noProof w:val="0"/>
          <w:rtl/>
        </w:rPr>
        <w:t>באופן</w:t>
      </w:r>
      <w:r w:rsidRPr="002203FA">
        <w:rPr>
          <w:rFonts w:ascii="Miriam" w:eastAsia="Calibri" w:hAnsi="Miriam" w:cs="Miriam"/>
          <w:b/>
          <w:bCs/>
          <w:noProof w:val="0"/>
        </w:rPr>
        <w:t xml:space="preserve"> </w:t>
      </w:r>
      <w:r w:rsidRPr="002203FA">
        <w:rPr>
          <w:rFonts w:ascii="Miriam" w:eastAsia="Calibri" w:hAnsi="Miriam" w:cs="Miriam"/>
          <w:b/>
          <w:bCs/>
          <w:noProof w:val="0"/>
          <w:rtl/>
        </w:rPr>
        <w:t>מובהק</w:t>
      </w:r>
      <w:r w:rsidRPr="002203FA">
        <w:rPr>
          <w:rFonts w:ascii="Miriam" w:eastAsia="Calibri" w:hAnsi="Miriam" w:cs="Miriam"/>
          <w:b/>
          <w:bCs/>
          <w:noProof w:val="0"/>
        </w:rPr>
        <w:t xml:space="preserve"> </w:t>
      </w:r>
      <w:r w:rsidRPr="002203FA">
        <w:rPr>
          <w:rFonts w:ascii="Miriam" w:eastAsia="Calibri" w:hAnsi="Miriam" w:cs="Miriam"/>
          <w:b/>
          <w:bCs/>
          <w:noProof w:val="0"/>
          <w:rtl/>
        </w:rPr>
        <w:t>לתופעות</w:t>
      </w:r>
      <w:r w:rsidRPr="002203FA">
        <w:rPr>
          <w:rFonts w:ascii="Miriam" w:eastAsia="Calibri" w:hAnsi="Miriam" w:cs="Miriam"/>
          <w:b/>
          <w:bCs/>
          <w:noProof w:val="0"/>
        </w:rPr>
        <w:t xml:space="preserve"> </w:t>
      </w:r>
      <w:r w:rsidRPr="002203FA">
        <w:rPr>
          <w:rFonts w:ascii="Miriam" w:eastAsia="Calibri" w:hAnsi="Miriam" w:cs="Miriam"/>
          <w:b/>
          <w:bCs/>
          <w:noProof w:val="0"/>
          <w:rtl/>
        </w:rPr>
        <w:t>האמורות וביניהן, לחשש</w:t>
      </w:r>
      <w:r w:rsidRPr="002203FA">
        <w:rPr>
          <w:rFonts w:ascii="Miriam" w:eastAsia="Calibri" w:hAnsi="Miriam" w:cs="Miriam"/>
          <w:b/>
          <w:bCs/>
          <w:noProof w:val="0"/>
        </w:rPr>
        <w:t xml:space="preserve"> </w:t>
      </w:r>
      <w:r w:rsidRPr="002203FA">
        <w:rPr>
          <w:rFonts w:ascii="Miriam" w:eastAsia="Calibri" w:hAnsi="Miriam" w:cs="Miriam"/>
          <w:b/>
          <w:bCs/>
          <w:noProof w:val="0"/>
          <w:rtl/>
        </w:rPr>
        <w:t>לאלימות... תופעת</w:t>
      </w:r>
      <w:r w:rsidRPr="002203FA">
        <w:rPr>
          <w:rFonts w:ascii="Miriam" w:eastAsia="Calibri" w:hAnsi="Miriam" w:cs="Miriam"/>
          <w:b/>
          <w:bCs/>
          <w:noProof w:val="0"/>
        </w:rPr>
        <w:t xml:space="preserve"> </w:t>
      </w:r>
      <w:r w:rsidRPr="002203FA">
        <w:rPr>
          <w:rFonts w:ascii="Miriam" w:eastAsia="Calibri" w:hAnsi="Miriam" w:cs="Miriam"/>
          <w:b/>
          <w:bCs/>
          <w:noProof w:val="0"/>
          <w:rtl/>
        </w:rPr>
        <w:t>ריבוי</w:t>
      </w:r>
      <w:r w:rsidRPr="002203FA">
        <w:rPr>
          <w:rFonts w:ascii="Miriam" w:eastAsia="Calibri" w:hAnsi="Miriam" w:cs="Miriam"/>
          <w:b/>
          <w:bCs/>
          <w:noProof w:val="0"/>
        </w:rPr>
        <w:t xml:space="preserve"> </w:t>
      </w:r>
      <w:r w:rsidRPr="002203FA">
        <w:rPr>
          <w:rFonts w:ascii="Miriam" w:eastAsia="Calibri" w:hAnsi="Miriam" w:cs="Miriam"/>
          <w:b/>
          <w:bCs/>
          <w:noProof w:val="0"/>
          <w:rtl/>
        </w:rPr>
        <w:t>הנישואין</w:t>
      </w:r>
      <w:r w:rsidRPr="002203FA">
        <w:rPr>
          <w:rFonts w:ascii="Miriam" w:eastAsia="Calibri" w:hAnsi="Miriam" w:cs="Miriam"/>
          <w:b/>
          <w:bCs/>
          <w:noProof w:val="0"/>
        </w:rPr>
        <w:t xml:space="preserve"> </w:t>
      </w:r>
      <w:r w:rsidRPr="002203FA">
        <w:rPr>
          <w:rFonts w:ascii="Miriam" w:eastAsia="Calibri" w:hAnsi="Miriam" w:cs="Miriam"/>
          <w:b/>
          <w:bCs/>
          <w:noProof w:val="0"/>
          <w:rtl/>
        </w:rPr>
        <w:t>אף</w:t>
      </w:r>
      <w:r w:rsidRPr="002203FA">
        <w:rPr>
          <w:rFonts w:ascii="Miriam" w:eastAsia="Calibri" w:hAnsi="Miriam" w:cs="Miriam"/>
          <w:b/>
          <w:bCs/>
          <w:noProof w:val="0"/>
        </w:rPr>
        <w:t xml:space="preserve"> </w:t>
      </w:r>
      <w:r w:rsidRPr="002203FA">
        <w:rPr>
          <w:rFonts w:ascii="Miriam" w:eastAsia="Calibri" w:hAnsi="Miriam" w:cs="Miriam"/>
          <w:b/>
          <w:bCs/>
          <w:noProof w:val="0"/>
          <w:rtl/>
        </w:rPr>
        <w:t>מהווה</w:t>
      </w:r>
      <w:r w:rsidRPr="002203FA">
        <w:rPr>
          <w:rFonts w:ascii="Miriam" w:eastAsia="Calibri" w:hAnsi="Miriam" w:cs="Miriam"/>
          <w:b/>
          <w:bCs/>
          <w:noProof w:val="0"/>
        </w:rPr>
        <w:t xml:space="preserve"> </w:t>
      </w:r>
      <w:r w:rsidRPr="002203FA">
        <w:rPr>
          <w:rFonts w:ascii="Miriam" w:eastAsia="Calibri" w:hAnsi="Miriam" w:cs="Miriam"/>
          <w:b/>
          <w:bCs/>
          <w:noProof w:val="0"/>
          <w:rtl/>
        </w:rPr>
        <w:t>אמצעי</w:t>
      </w:r>
      <w:r w:rsidRPr="002203FA">
        <w:rPr>
          <w:rFonts w:ascii="Miriam" w:eastAsia="Calibri" w:hAnsi="Miriam" w:cs="Miriam"/>
          <w:b/>
          <w:bCs/>
          <w:noProof w:val="0"/>
        </w:rPr>
        <w:t xml:space="preserve"> </w:t>
      </w:r>
      <w:r w:rsidRPr="002203FA">
        <w:rPr>
          <w:rFonts w:ascii="Miriam" w:eastAsia="Calibri" w:hAnsi="Miriam" w:cs="Miriam"/>
          <w:b/>
          <w:bCs/>
          <w:noProof w:val="0"/>
          <w:rtl/>
        </w:rPr>
        <w:t>להשגת</w:t>
      </w:r>
      <w:r w:rsidRPr="002203FA">
        <w:rPr>
          <w:rFonts w:ascii="Miriam" w:eastAsia="Calibri" w:hAnsi="Miriam" w:cs="Miriam"/>
          <w:b/>
          <w:bCs/>
          <w:noProof w:val="0"/>
        </w:rPr>
        <w:t xml:space="preserve"> </w:t>
      </w:r>
      <w:r w:rsidRPr="002203FA">
        <w:rPr>
          <w:rFonts w:ascii="Miriam" w:eastAsia="Calibri" w:hAnsi="Miriam" w:cs="Miriam"/>
          <w:b/>
          <w:bCs/>
          <w:noProof w:val="0"/>
          <w:rtl/>
        </w:rPr>
        <w:t>רווח</w:t>
      </w:r>
      <w:r w:rsidRPr="002203FA">
        <w:rPr>
          <w:rFonts w:ascii="Miriam" w:eastAsia="Calibri" w:hAnsi="Miriam" w:cs="Miriam"/>
          <w:b/>
          <w:bCs/>
          <w:noProof w:val="0"/>
        </w:rPr>
        <w:t xml:space="preserve"> </w:t>
      </w:r>
      <w:r w:rsidRPr="002203FA">
        <w:rPr>
          <w:rFonts w:ascii="Miriam" w:eastAsia="Calibri" w:hAnsi="Miriam" w:cs="Miriam"/>
          <w:b/>
          <w:bCs/>
          <w:noProof w:val="0"/>
          <w:rtl/>
        </w:rPr>
        <w:t>כלכלי, לעיתים</w:t>
      </w:r>
      <w:r w:rsidRPr="002203FA">
        <w:rPr>
          <w:rFonts w:ascii="Miriam" w:eastAsia="Calibri" w:hAnsi="Miriam" w:cs="Miriam"/>
          <w:b/>
          <w:bCs/>
          <w:noProof w:val="0"/>
        </w:rPr>
        <w:t xml:space="preserve"> </w:t>
      </w:r>
      <w:r w:rsidRPr="002203FA">
        <w:rPr>
          <w:rFonts w:ascii="Miriam" w:eastAsia="Calibri" w:hAnsi="Miriam" w:cs="Miriam"/>
          <w:b/>
          <w:bCs/>
          <w:noProof w:val="0"/>
          <w:rtl/>
        </w:rPr>
        <w:t>שלא</w:t>
      </w:r>
      <w:r w:rsidRPr="002203FA">
        <w:rPr>
          <w:rFonts w:ascii="Miriam" w:eastAsia="Calibri" w:hAnsi="Miriam" w:cs="Miriam"/>
          <w:b/>
          <w:bCs/>
          <w:noProof w:val="0"/>
        </w:rPr>
        <w:t xml:space="preserve"> </w:t>
      </w:r>
      <w:r w:rsidRPr="002203FA">
        <w:rPr>
          <w:rFonts w:ascii="Miriam" w:eastAsia="Calibri" w:hAnsi="Miriam" w:cs="Miriam"/>
          <w:b/>
          <w:bCs/>
          <w:noProof w:val="0"/>
          <w:rtl/>
        </w:rPr>
        <w:t>כדין, בתחומים שונים. ריבוי</w:t>
      </w:r>
      <w:r w:rsidRPr="002203FA">
        <w:rPr>
          <w:rFonts w:ascii="Miriam" w:eastAsia="Calibri" w:hAnsi="Miriam" w:cs="Miriam"/>
          <w:b/>
          <w:bCs/>
          <w:noProof w:val="0"/>
        </w:rPr>
        <w:t xml:space="preserve"> </w:t>
      </w:r>
      <w:r w:rsidRPr="002203FA">
        <w:rPr>
          <w:rFonts w:ascii="Miriam" w:eastAsia="Calibri" w:hAnsi="Miriam" w:cs="Miriam"/>
          <w:b/>
          <w:bCs/>
          <w:noProof w:val="0"/>
          <w:rtl/>
        </w:rPr>
        <w:t>נישואין</w:t>
      </w:r>
      <w:r w:rsidRPr="002203FA">
        <w:rPr>
          <w:rFonts w:ascii="Miriam" w:eastAsia="Calibri" w:hAnsi="Miriam" w:cs="Miriam"/>
          <w:b/>
          <w:bCs/>
          <w:noProof w:val="0"/>
        </w:rPr>
        <w:t xml:space="preserve"> </w:t>
      </w:r>
      <w:r w:rsidRPr="002203FA">
        <w:rPr>
          <w:rFonts w:ascii="Miriam" w:eastAsia="Calibri" w:hAnsi="Miriam" w:cs="Miriam"/>
          <w:b/>
          <w:bCs/>
          <w:noProof w:val="0"/>
          <w:rtl/>
        </w:rPr>
        <w:t>מאפשר</w:t>
      </w:r>
      <w:r w:rsidRPr="002203FA">
        <w:rPr>
          <w:rFonts w:ascii="Miriam" w:eastAsia="Calibri" w:hAnsi="Miriam" w:cs="Miriam"/>
          <w:b/>
          <w:bCs/>
          <w:noProof w:val="0"/>
        </w:rPr>
        <w:t xml:space="preserve"> </w:t>
      </w:r>
      <w:r w:rsidRPr="002203FA">
        <w:rPr>
          <w:rFonts w:ascii="Miriam" w:eastAsia="Calibri" w:hAnsi="Miriam" w:cs="Miriam"/>
          <w:b/>
          <w:bCs/>
          <w:noProof w:val="0"/>
          <w:rtl/>
        </w:rPr>
        <w:t>זכאות</w:t>
      </w:r>
      <w:r w:rsidRPr="002203FA">
        <w:rPr>
          <w:rFonts w:ascii="Miriam" w:eastAsia="Calibri" w:hAnsi="Miriam" w:cs="Miriam"/>
          <w:b/>
          <w:bCs/>
          <w:noProof w:val="0"/>
        </w:rPr>
        <w:t xml:space="preserve"> </w:t>
      </w:r>
      <w:r w:rsidRPr="002203FA">
        <w:rPr>
          <w:rFonts w:ascii="Miriam" w:eastAsia="Calibri" w:hAnsi="Miriam" w:cs="Miriam"/>
          <w:b/>
          <w:bCs/>
          <w:noProof w:val="0"/>
          <w:rtl/>
        </w:rPr>
        <w:t>להטבות</w:t>
      </w:r>
      <w:r w:rsidRPr="002203FA">
        <w:rPr>
          <w:rFonts w:ascii="Miriam" w:eastAsia="Calibri" w:hAnsi="Miriam" w:cs="Miriam"/>
          <w:b/>
          <w:bCs/>
          <w:noProof w:val="0"/>
        </w:rPr>
        <w:t xml:space="preserve"> </w:t>
      </w:r>
      <w:r w:rsidRPr="002203FA">
        <w:rPr>
          <w:rFonts w:ascii="Miriam" w:eastAsia="Calibri" w:hAnsi="Miriam" w:cs="Miriam"/>
          <w:b/>
          <w:bCs/>
          <w:noProof w:val="0"/>
          <w:rtl/>
        </w:rPr>
        <w:t>שונות</w:t>
      </w:r>
      <w:r w:rsidRPr="002203FA">
        <w:rPr>
          <w:rFonts w:ascii="Miriam" w:eastAsia="Calibri" w:hAnsi="Miriam" w:cs="Miriam"/>
          <w:b/>
          <w:bCs/>
          <w:noProof w:val="0"/>
        </w:rPr>
        <w:t xml:space="preserve"> </w:t>
      </w:r>
      <w:r w:rsidRPr="002203FA">
        <w:rPr>
          <w:rFonts w:ascii="Miriam" w:eastAsia="Calibri" w:hAnsi="Miriam" w:cs="Miriam"/>
          <w:b/>
          <w:bCs/>
          <w:noProof w:val="0"/>
          <w:rtl/>
        </w:rPr>
        <w:t>מכוח</w:t>
      </w:r>
      <w:r w:rsidRPr="002203FA">
        <w:rPr>
          <w:rFonts w:ascii="Miriam" w:eastAsia="Calibri" w:hAnsi="Miriam" w:cs="Miriam"/>
          <w:b/>
          <w:bCs/>
          <w:noProof w:val="0"/>
        </w:rPr>
        <w:t xml:space="preserve"> </w:t>
      </w:r>
      <w:r w:rsidRPr="002203FA">
        <w:rPr>
          <w:rFonts w:ascii="Miriam" w:eastAsia="Calibri" w:hAnsi="Miriam" w:cs="Miriam"/>
          <w:b/>
          <w:bCs/>
          <w:noProof w:val="0"/>
          <w:rtl/>
        </w:rPr>
        <w:t>החוק, הטבות</w:t>
      </w:r>
      <w:r w:rsidRPr="002203FA">
        <w:rPr>
          <w:rFonts w:ascii="Miriam" w:eastAsia="Calibri" w:hAnsi="Miriam" w:cs="Miriam"/>
          <w:b/>
          <w:bCs/>
          <w:noProof w:val="0"/>
        </w:rPr>
        <w:t xml:space="preserve"> </w:t>
      </w:r>
      <w:r w:rsidRPr="002203FA">
        <w:rPr>
          <w:rFonts w:ascii="Miriam" w:eastAsia="Calibri" w:hAnsi="Miriam" w:cs="Miriam"/>
          <w:b/>
          <w:bCs/>
          <w:noProof w:val="0"/>
          <w:rtl/>
        </w:rPr>
        <w:t>שעלולות</w:t>
      </w:r>
      <w:r w:rsidRPr="002203FA">
        <w:rPr>
          <w:rFonts w:ascii="Miriam" w:eastAsia="Calibri" w:hAnsi="Miriam" w:cs="Miriam"/>
          <w:b/>
          <w:bCs/>
          <w:noProof w:val="0"/>
        </w:rPr>
        <w:t xml:space="preserve"> </w:t>
      </w:r>
      <w:r w:rsidRPr="002203FA">
        <w:rPr>
          <w:rFonts w:ascii="Miriam" w:eastAsia="Calibri" w:hAnsi="Miriam" w:cs="Miriam"/>
          <w:b/>
          <w:bCs/>
          <w:noProof w:val="0"/>
          <w:rtl/>
        </w:rPr>
        <w:t>ליצור תמריץ</w:t>
      </w:r>
      <w:r w:rsidRPr="002203FA">
        <w:rPr>
          <w:rFonts w:ascii="Miriam" w:eastAsia="Calibri" w:hAnsi="Miriam" w:cs="Miriam"/>
          <w:b/>
          <w:bCs/>
          <w:noProof w:val="0"/>
        </w:rPr>
        <w:t xml:space="preserve"> </w:t>
      </w:r>
      <w:r w:rsidRPr="002203FA">
        <w:rPr>
          <w:rFonts w:ascii="Miriam" w:eastAsia="Calibri" w:hAnsi="Miriam" w:cs="Miriam"/>
          <w:b/>
          <w:bCs/>
          <w:noProof w:val="0"/>
          <w:rtl/>
        </w:rPr>
        <w:t>משמעותי</w:t>
      </w:r>
      <w:r w:rsidRPr="002203FA">
        <w:rPr>
          <w:rFonts w:ascii="Miriam" w:eastAsia="Calibri" w:hAnsi="Miriam" w:cs="Miriam"/>
          <w:b/>
          <w:bCs/>
          <w:noProof w:val="0"/>
        </w:rPr>
        <w:t xml:space="preserve"> </w:t>
      </w:r>
      <w:r w:rsidRPr="002203FA">
        <w:rPr>
          <w:rFonts w:ascii="Miriam" w:eastAsia="Calibri" w:hAnsi="Miriam" w:cs="Miriam"/>
          <w:b/>
          <w:bCs/>
          <w:noProof w:val="0"/>
          <w:rtl/>
        </w:rPr>
        <w:t>לקיום</w:t>
      </w:r>
      <w:r w:rsidRPr="002203FA">
        <w:rPr>
          <w:rFonts w:ascii="Miriam" w:eastAsia="Calibri" w:hAnsi="Miriam" w:cs="Miriam"/>
          <w:b/>
          <w:bCs/>
          <w:noProof w:val="0"/>
        </w:rPr>
        <w:t xml:space="preserve"> </w:t>
      </w:r>
      <w:r w:rsidRPr="002203FA">
        <w:rPr>
          <w:rFonts w:ascii="Miriam" w:eastAsia="Calibri" w:hAnsi="Miriam" w:cs="Miriam"/>
          <w:b/>
          <w:bCs/>
          <w:noProof w:val="0"/>
          <w:rtl/>
        </w:rPr>
        <w:t>אורח</w:t>
      </w:r>
      <w:r w:rsidRPr="002203FA">
        <w:rPr>
          <w:rFonts w:ascii="Miriam" w:eastAsia="Calibri" w:hAnsi="Miriam" w:cs="Miriam"/>
          <w:b/>
          <w:bCs/>
          <w:noProof w:val="0"/>
        </w:rPr>
        <w:t xml:space="preserve"> </w:t>
      </w:r>
      <w:r w:rsidRPr="002203FA">
        <w:rPr>
          <w:rFonts w:ascii="Miriam" w:eastAsia="Calibri" w:hAnsi="Miriam" w:cs="Miriam"/>
          <w:b/>
          <w:bCs/>
          <w:noProof w:val="0"/>
          <w:rtl/>
        </w:rPr>
        <w:t>חיים</w:t>
      </w:r>
      <w:r w:rsidRPr="002203FA">
        <w:rPr>
          <w:rFonts w:ascii="Miriam" w:eastAsia="Calibri" w:hAnsi="Miriam" w:cs="Miriam"/>
          <w:b/>
          <w:bCs/>
          <w:noProof w:val="0"/>
        </w:rPr>
        <w:t xml:space="preserve"> </w:t>
      </w:r>
      <w:r w:rsidRPr="002203FA">
        <w:rPr>
          <w:rFonts w:ascii="Miriam" w:eastAsia="Calibri" w:hAnsi="Miriam" w:cs="Miriam"/>
          <w:b/>
          <w:bCs/>
          <w:noProof w:val="0"/>
          <w:rtl/>
        </w:rPr>
        <w:t>פוליגמי, למשל</w:t>
      </w:r>
      <w:r w:rsidRPr="002203FA">
        <w:rPr>
          <w:rFonts w:ascii="Miriam" w:eastAsia="Calibri" w:hAnsi="Miriam" w:cs="Miriam"/>
          <w:b/>
          <w:bCs/>
          <w:noProof w:val="0"/>
        </w:rPr>
        <w:t xml:space="preserve"> </w:t>
      </w:r>
      <w:r w:rsidRPr="002203FA">
        <w:rPr>
          <w:rFonts w:ascii="Miriam" w:eastAsia="Calibri" w:hAnsi="Miriam" w:cs="Miriam"/>
          <w:b/>
          <w:bCs/>
          <w:noProof w:val="0"/>
          <w:rtl/>
        </w:rPr>
        <w:t>קצבת</w:t>
      </w:r>
      <w:r w:rsidRPr="002203FA">
        <w:rPr>
          <w:rFonts w:ascii="Miriam" w:eastAsia="Calibri" w:hAnsi="Miriam" w:cs="Miriam"/>
          <w:b/>
          <w:bCs/>
          <w:noProof w:val="0"/>
        </w:rPr>
        <w:t xml:space="preserve"> </w:t>
      </w:r>
      <w:r w:rsidRPr="002203FA">
        <w:rPr>
          <w:rFonts w:ascii="Miriam" w:eastAsia="Calibri" w:hAnsi="Miriam" w:cs="Miriam"/>
          <w:b/>
          <w:bCs/>
          <w:noProof w:val="0"/>
          <w:rtl/>
        </w:rPr>
        <w:t>הבטחת</w:t>
      </w:r>
      <w:r w:rsidRPr="002203FA">
        <w:rPr>
          <w:rFonts w:ascii="Miriam" w:eastAsia="Calibri" w:hAnsi="Miriam" w:cs="Miriam"/>
          <w:b/>
          <w:bCs/>
          <w:noProof w:val="0"/>
        </w:rPr>
        <w:t xml:space="preserve"> </w:t>
      </w:r>
      <w:r w:rsidRPr="002203FA">
        <w:rPr>
          <w:rFonts w:ascii="Miriam" w:eastAsia="Calibri" w:hAnsi="Miriam" w:cs="Miriam"/>
          <w:b/>
          <w:bCs/>
          <w:noProof w:val="0"/>
          <w:rtl/>
        </w:rPr>
        <w:t>הכנסה</w:t>
      </w:r>
      <w:r w:rsidRPr="002203FA">
        <w:rPr>
          <w:rFonts w:ascii="Miriam" w:eastAsia="Calibri" w:hAnsi="Miriam" w:cs="Miriam"/>
          <w:b/>
          <w:bCs/>
          <w:noProof w:val="0"/>
        </w:rPr>
        <w:t xml:space="preserve"> </w:t>
      </w:r>
      <w:r w:rsidRPr="002203FA">
        <w:rPr>
          <w:rFonts w:ascii="Miriam" w:eastAsia="Calibri" w:hAnsi="Miriam" w:cs="Miriam"/>
          <w:b/>
          <w:bCs/>
          <w:noProof w:val="0"/>
          <w:rtl/>
        </w:rPr>
        <w:t>ליחידה</w:t>
      </w:r>
      <w:r w:rsidRPr="002203FA">
        <w:rPr>
          <w:rFonts w:ascii="Miriam" w:eastAsia="Calibri" w:hAnsi="Miriam" w:cs="Miriam"/>
          <w:b/>
          <w:bCs/>
          <w:noProof w:val="0"/>
        </w:rPr>
        <w:t xml:space="preserve"> </w:t>
      </w:r>
      <w:r w:rsidRPr="002203FA">
        <w:rPr>
          <w:rFonts w:ascii="Miriam" w:eastAsia="Calibri" w:hAnsi="Miriam" w:cs="Miriam"/>
          <w:b/>
          <w:bCs/>
          <w:noProof w:val="0"/>
          <w:rtl/>
        </w:rPr>
        <w:t>משפחתית שבה</w:t>
      </w:r>
      <w:r w:rsidRPr="002203FA">
        <w:rPr>
          <w:rFonts w:ascii="Miriam" w:eastAsia="Calibri" w:hAnsi="Miriam" w:cs="Miriam"/>
          <w:b/>
          <w:bCs/>
          <w:noProof w:val="0"/>
        </w:rPr>
        <w:t xml:space="preserve"> </w:t>
      </w:r>
      <w:r w:rsidRPr="002203FA">
        <w:rPr>
          <w:rFonts w:ascii="Miriam" w:eastAsia="Calibri" w:hAnsi="Miriam" w:cs="Miriam"/>
          <w:b/>
          <w:bCs/>
          <w:noProof w:val="0"/>
          <w:rtl/>
        </w:rPr>
        <w:t>יותר</w:t>
      </w:r>
      <w:r w:rsidRPr="002203FA">
        <w:rPr>
          <w:rFonts w:ascii="Miriam" w:eastAsia="Calibri" w:hAnsi="Miriam" w:cs="Miriam"/>
          <w:b/>
          <w:bCs/>
          <w:noProof w:val="0"/>
        </w:rPr>
        <w:t xml:space="preserve"> </w:t>
      </w:r>
      <w:r w:rsidRPr="002203FA">
        <w:rPr>
          <w:rFonts w:ascii="Miriam" w:eastAsia="Calibri" w:hAnsi="Miriam" w:cs="Miriam"/>
          <w:b/>
          <w:bCs/>
          <w:noProof w:val="0"/>
          <w:rtl/>
        </w:rPr>
        <w:t>משני</w:t>
      </w:r>
      <w:r w:rsidRPr="002203FA">
        <w:rPr>
          <w:rFonts w:ascii="Miriam" w:eastAsia="Calibri" w:hAnsi="Miriam" w:cs="Miriam"/>
          <w:b/>
          <w:bCs/>
          <w:noProof w:val="0"/>
        </w:rPr>
        <w:t xml:space="preserve"> </w:t>
      </w:r>
      <w:r w:rsidRPr="002203FA">
        <w:rPr>
          <w:rFonts w:ascii="Miriam" w:eastAsia="Calibri" w:hAnsi="Miriam" w:cs="Miriam"/>
          <w:b/>
          <w:bCs/>
          <w:noProof w:val="0"/>
          <w:rtl/>
        </w:rPr>
        <w:t>בני</w:t>
      </w:r>
      <w:r w:rsidRPr="002203FA">
        <w:rPr>
          <w:rFonts w:ascii="Miriam" w:eastAsia="Calibri" w:hAnsi="Miriam" w:cs="Miriam"/>
          <w:b/>
          <w:bCs/>
          <w:noProof w:val="0"/>
        </w:rPr>
        <w:t xml:space="preserve"> </w:t>
      </w:r>
      <w:r w:rsidRPr="002203FA">
        <w:rPr>
          <w:rFonts w:ascii="Miriam" w:eastAsia="Calibri" w:hAnsi="Miriam" w:cs="Miriam"/>
          <w:b/>
          <w:bCs/>
          <w:noProof w:val="0"/>
          <w:rtl/>
        </w:rPr>
        <w:t>זוג..."</w:t>
      </w:r>
      <w:r w:rsidRPr="002203FA">
        <w:rPr>
          <w:rFonts w:ascii="Arial" w:eastAsia="Calibri" w:hAnsi="Arial" w:cs="Arial"/>
          <w:noProof w:val="0"/>
          <w:rtl/>
        </w:rPr>
        <w:t>.</w:t>
      </w:r>
    </w:p>
    <w:p w:rsidR="0095249B" w:rsidRDefault="0095249B" w:rsidP="0095249B">
      <w:pPr>
        <w:spacing w:after="160" w:line="360" w:lineRule="auto"/>
        <w:jc w:val="both"/>
        <w:rPr>
          <w:rFonts w:ascii="Calibri" w:eastAsia="Calibri" w:hAnsi="Calibri" w:cs="Arial"/>
          <w:noProof w:val="0"/>
          <w:rtl/>
        </w:rPr>
      </w:pPr>
    </w:p>
    <w:p w:rsidR="002203FA" w:rsidRPr="002203FA" w:rsidRDefault="002203FA" w:rsidP="0095249B">
      <w:pPr>
        <w:spacing w:after="160" w:line="360" w:lineRule="auto"/>
        <w:jc w:val="both"/>
        <w:rPr>
          <w:rFonts w:ascii="Calibri" w:eastAsia="Calibri" w:hAnsi="Calibri" w:cs="Arial"/>
          <w:noProof w:val="0"/>
          <w:rtl/>
        </w:rPr>
      </w:pPr>
      <w:r w:rsidRPr="002203FA">
        <w:rPr>
          <w:rFonts w:ascii="Calibri" w:eastAsia="Calibri" w:hAnsi="Calibri" w:cs="Arial"/>
          <w:noProof w:val="0"/>
          <w:rtl/>
        </w:rPr>
        <w:t>וכך הוספנו בהקשר זה במסגרת פסק הדין של אבו-סקיק המצוין לעיל</w:t>
      </w:r>
      <w:r w:rsidR="0095249B">
        <w:rPr>
          <w:rFonts w:ascii="Calibri" w:eastAsia="Calibri" w:hAnsi="Calibri" w:cs="Arial" w:hint="cs"/>
          <w:noProof w:val="0"/>
          <w:rtl/>
        </w:rPr>
        <w:t xml:space="preserve"> (ההדגשות אינן במקור)</w:t>
      </w:r>
      <w:r w:rsidRPr="002203FA">
        <w:rPr>
          <w:rFonts w:ascii="Calibri" w:eastAsia="Calibri" w:hAnsi="Calibri" w:cs="Arial"/>
          <w:noProof w:val="0"/>
          <w:rtl/>
        </w:rPr>
        <w:t>:</w:t>
      </w:r>
    </w:p>
    <w:p w:rsidR="002203FA" w:rsidRPr="002203FA" w:rsidRDefault="002203FA" w:rsidP="002203FA">
      <w:pPr>
        <w:autoSpaceDE w:val="0"/>
        <w:autoSpaceDN w:val="0"/>
        <w:adjustRightInd w:val="0"/>
        <w:spacing w:after="160"/>
        <w:ind w:left="720" w:right="426"/>
        <w:jc w:val="both"/>
        <w:rPr>
          <w:rFonts w:ascii="Miriam" w:eastAsia="Calibri" w:hAnsi="Miriam" w:cs="Miriam"/>
          <w:b/>
          <w:bCs/>
          <w:noProof w:val="0"/>
          <w:rtl/>
        </w:rPr>
      </w:pPr>
      <w:r w:rsidRPr="002203FA">
        <w:rPr>
          <w:rFonts w:ascii="Miriam" w:eastAsia="Calibri" w:hAnsi="Miriam" w:cs="Miriam"/>
          <w:b/>
          <w:bCs/>
          <w:noProof w:val="0"/>
          <w:rtl/>
        </w:rPr>
        <w:t>"לא ניתן לשאת את הפגיעה בנשים בדרך של נישואים פוליגמיים; ולא ניתן להסיר את אחריות החברה והמדינה על רשויותיה, ממתן הגנה מפני פגיעה זו רק כיוון שיש ציבור, רחב ככל שיהיה, אשר תומך בתופעה ובפגיעה בכבוד הנשים כבני אדם, בזכויותיהן, ובעיקר בזכויות היסוד שלהן לשוויון, לעצמאות וכאמור – לכבוד. הגיעה העת לשים קץ לתופעה מכוערת זו בכל דרך אפשרית, כולל אכיפה פלילית, ולא להמשיך ולהכיל אותה, וזאת במיוחד באזור מגורנו – בנגב, שם, במקום שעם השנים תופסק הפוליגמיה הפוגענית, היא הולכת ונהיית נפוצה.</w:t>
      </w:r>
    </w:p>
    <w:p w:rsidR="002203FA" w:rsidRPr="002203FA" w:rsidRDefault="002203FA" w:rsidP="002203FA">
      <w:pPr>
        <w:autoSpaceDE w:val="0"/>
        <w:autoSpaceDN w:val="0"/>
        <w:adjustRightInd w:val="0"/>
        <w:spacing w:after="160"/>
        <w:ind w:left="720" w:right="426"/>
        <w:jc w:val="both"/>
        <w:rPr>
          <w:rFonts w:ascii="Miriam" w:eastAsia="Calibri" w:hAnsi="Miriam" w:cs="Miriam"/>
          <w:b/>
          <w:bCs/>
          <w:noProof w:val="0"/>
          <w:rtl/>
        </w:rPr>
      </w:pPr>
      <w:r w:rsidRPr="002203FA">
        <w:rPr>
          <w:rFonts w:ascii="Miriam" w:eastAsia="Calibri" w:hAnsi="Miriam" w:cs="Miriam"/>
          <w:b/>
          <w:bCs/>
          <w:noProof w:val="0"/>
          <w:rtl/>
        </w:rPr>
        <w:t xml:space="preserve">ויודגש, כי חומרת הפגיעה של הפוליגמיה בנשים אינה מחייבת עבירות ותופעות נלוות כמו אלו המפורטות בהנחית היועמ"ש, והפגיעה בנשים קיימת גם כאשר אין מצוקה כלכלית (כמו הנטען במקרה שבפנינו) או אלימות פיזית הנלווית לפוליגמיה. לכשעצמי, </w:t>
      </w:r>
      <w:r w:rsidRPr="0095249B">
        <w:rPr>
          <w:rFonts w:ascii="Miriam" w:eastAsia="Calibri" w:hAnsi="Miriam" w:cs="Miriam"/>
          <w:b/>
          <w:bCs/>
          <w:noProof w:val="0"/>
          <w:u w:val="single"/>
          <w:rtl/>
        </w:rPr>
        <w:t>עצם הנישואין השניים יש בהם משום התאכזרות לנשים (ובעיקר לאישה הראשונה) ולילדיהן, גם אם אכזריות זו אינה מקבלת ביטוי פיזי או כלכלי</w:t>
      </w:r>
      <w:r w:rsidRPr="002203FA">
        <w:rPr>
          <w:rFonts w:ascii="Miriam" w:eastAsia="Calibri" w:hAnsi="Miriam" w:cs="Miriam"/>
          <w:b/>
          <w:bCs/>
          <w:noProof w:val="0"/>
          <w:rtl/>
        </w:rPr>
        <w:t xml:space="preserve">. </w:t>
      </w:r>
    </w:p>
    <w:p w:rsidR="002203FA" w:rsidRPr="002203FA" w:rsidRDefault="002203FA" w:rsidP="002203FA">
      <w:pPr>
        <w:autoSpaceDE w:val="0"/>
        <w:autoSpaceDN w:val="0"/>
        <w:adjustRightInd w:val="0"/>
        <w:spacing w:after="160"/>
        <w:ind w:left="720" w:right="426"/>
        <w:jc w:val="both"/>
        <w:rPr>
          <w:rFonts w:ascii="Arial" w:eastAsia="Calibri" w:hAnsi="Arial" w:cs="Arial"/>
          <w:noProof w:val="0"/>
          <w:sz w:val="22"/>
          <w:szCs w:val="22"/>
          <w:rtl/>
        </w:rPr>
      </w:pPr>
      <w:r w:rsidRPr="002203FA">
        <w:rPr>
          <w:rFonts w:ascii="Miriam" w:eastAsia="Calibri" w:hAnsi="Miriam" w:cs="Miriam"/>
          <w:b/>
          <w:bCs/>
          <w:noProof w:val="0"/>
          <w:rtl/>
        </w:rPr>
        <w:lastRenderedPageBreak/>
        <w:t xml:space="preserve">ועוד. במקרה שבפנינו, </w:t>
      </w:r>
      <w:r w:rsidRPr="0095249B">
        <w:rPr>
          <w:rFonts w:ascii="Miriam" w:eastAsia="Calibri" w:hAnsi="Miriam" w:cs="Miriam"/>
          <w:b/>
          <w:bCs/>
          <w:noProof w:val="0"/>
          <w:u w:val="single"/>
          <w:rtl/>
        </w:rPr>
        <w:t>הפגיעה איננה מופנית רק כלפי האישה הראשונה, אלא גם כלפי האישה השנייה. אכן, אין טענה לאלימות או למצוקה כלכלית, אולם נישואי המשיב לאישה משטחי הרשות הפלשתינית והבאתה לישראל, כאן תשהה ללא זכויות תוך שתהיה נתונה לחסדי המשיב ומשפחתו ללא עורף משפחתי, כאשר הניסיונות לאלץ את המדינה להכיר בה ולהתיר את שהייתה בתחומיה, לא בהכרח יעלו יפה, גם אלה מהווים פגיעה של ממש באישה</w:t>
      </w:r>
      <w:r w:rsidRPr="002203FA">
        <w:rPr>
          <w:rFonts w:ascii="Miriam" w:eastAsia="Calibri" w:hAnsi="Miriam" w:cs="Miriam"/>
          <w:b/>
          <w:bCs/>
          <w:noProof w:val="0"/>
          <w:rtl/>
        </w:rPr>
        <w:t>".</w:t>
      </w:r>
    </w:p>
    <w:p w:rsidR="002203FA" w:rsidRPr="002203FA" w:rsidRDefault="002203FA" w:rsidP="002203FA">
      <w:pPr>
        <w:spacing w:after="160" w:line="360" w:lineRule="auto"/>
        <w:jc w:val="both"/>
        <w:rPr>
          <w:rFonts w:ascii="Calibri" w:eastAsia="Calibri" w:hAnsi="Calibri" w:cs="Arial"/>
          <w:noProof w:val="0"/>
          <w:rtl/>
        </w:rPr>
      </w:pPr>
    </w:p>
    <w:p w:rsidR="002203FA" w:rsidRPr="002203FA" w:rsidRDefault="002203FA" w:rsidP="002203FA">
      <w:pPr>
        <w:spacing w:after="160" w:line="360" w:lineRule="auto"/>
        <w:jc w:val="both"/>
        <w:rPr>
          <w:rFonts w:ascii="Calibri" w:eastAsia="Calibri" w:hAnsi="Calibri" w:cs="Arial"/>
          <w:noProof w:val="0"/>
          <w:rtl/>
        </w:rPr>
      </w:pPr>
      <w:r w:rsidRPr="002203FA">
        <w:rPr>
          <w:rFonts w:ascii="Calibri" w:eastAsia="Calibri" w:hAnsi="Calibri" w:cs="Arial"/>
          <w:noProof w:val="0"/>
          <w:rtl/>
        </w:rPr>
        <w:t>בדברים אלה יש כדי ליתן מסגרת והקשר לסירוב השלטונות להתיר שהייתה של אשת המשיב בישראל; ובכל מקרה, לא ניתן לומר שסירוב השלטונות להיעתר לבקשות המשיב ורעייתו, הן שהביאו את המשיב ל"מצבו המשפטי המסובך".</w:t>
      </w:r>
    </w:p>
    <w:p w:rsidR="002203FA" w:rsidRPr="002203FA" w:rsidRDefault="00BD3CB4" w:rsidP="00BD3CB4">
      <w:pPr>
        <w:spacing w:after="160" w:line="360" w:lineRule="auto"/>
        <w:jc w:val="both"/>
        <w:rPr>
          <w:rFonts w:ascii="Calibri" w:eastAsia="Calibri" w:hAnsi="Calibri" w:cs="Arial"/>
          <w:noProof w:val="0"/>
          <w:rtl/>
        </w:rPr>
      </w:pPr>
      <w:r>
        <w:rPr>
          <w:rFonts w:ascii="Calibri" w:eastAsia="Calibri" w:hAnsi="Calibri" w:cs="Arial" w:hint="cs"/>
          <w:noProof w:val="0"/>
          <w:rtl/>
        </w:rPr>
        <w:t xml:space="preserve">גם </w:t>
      </w:r>
      <w:r w:rsidR="002203FA" w:rsidRPr="002203FA">
        <w:rPr>
          <w:rFonts w:ascii="Calibri" w:eastAsia="Calibri" w:hAnsi="Calibri" w:cs="Arial"/>
          <w:noProof w:val="0"/>
          <w:rtl/>
        </w:rPr>
        <w:t xml:space="preserve">קביעת ביהמ"ש קמא </w:t>
      </w:r>
      <w:r>
        <w:rPr>
          <w:rFonts w:ascii="Calibri" w:eastAsia="Calibri" w:hAnsi="Calibri" w:cs="Arial" w:hint="cs"/>
          <w:noProof w:val="0"/>
          <w:rtl/>
        </w:rPr>
        <w:t>לפיה</w:t>
      </w:r>
      <w:r w:rsidR="002203FA" w:rsidRPr="002203FA">
        <w:rPr>
          <w:rFonts w:ascii="Calibri" w:eastAsia="Calibri" w:hAnsi="Calibri" w:cs="Arial"/>
          <w:noProof w:val="0"/>
          <w:rtl/>
        </w:rPr>
        <w:t xml:space="preserve"> </w:t>
      </w:r>
      <w:r w:rsidR="002203FA" w:rsidRPr="002203FA">
        <w:rPr>
          <w:rFonts w:ascii="Miriam" w:eastAsia="Calibri" w:hAnsi="Miriam" w:cs="Miriam"/>
          <w:b/>
          <w:bCs/>
          <w:noProof w:val="0"/>
          <w:rtl/>
        </w:rPr>
        <w:t>"הרשויות השלטוניות בישראל דיברו בשני קולות ביחס למעמדה של אשת הנאשם"</w:t>
      </w:r>
      <w:r>
        <w:rPr>
          <w:rFonts w:ascii="Calibri" w:eastAsia="Calibri" w:hAnsi="Calibri" w:cs="Arial" w:hint="cs"/>
          <w:noProof w:val="0"/>
          <w:rtl/>
        </w:rPr>
        <w:t>,</w:t>
      </w:r>
      <w:r w:rsidR="002203FA" w:rsidRPr="002203FA">
        <w:rPr>
          <w:rFonts w:ascii="Calibri" w:eastAsia="Calibri" w:hAnsi="Calibri" w:cs="Arial"/>
          <w:noProof w:val="0"/>
          <w:rtl/>
        </w:rPr>
        <w:t xml:space="preserve"> אי</w:t>
      </w:r>
      <w:r>
        <w:rPr>
          <w:rFonts w:ascii="Calibri" w:eastAsia="Calibri" w:hAnsi="Calibri" w:cs="Arial" w:hint="cs"/>
          <w:noProof w:val="0"/>
          <w:rtl/>
        </w:rPr>
        <w:t>נ</w:t>
      </w:r>
      <w:r w:rsidR="002203FA" w:rsidRPr="002203FA">
        <w:rPr>
          <w:rFonts w:ascii="Calibri" w:eastAsia="Calibri" w:hAnsi="Calibri" w:cs="Arial"/>
          <w:noProof w:val="0"/>
          <w:rtl/>
        </w:rPr>
        <w:t>נה יכולה לעמוד. אכן, אשת הנאשם נרשמה ככזו במסמכי המשיב, וכך גם ילדיו (ילדיה), אולם הרישום נעשה כאקט דקלרטיבי לאחר שביה"ד השרעי אימת</w:t>
      </w:r>
      <w:r w:rsidR="00EB7067">
        <w:rPr>
          <w:rFonts w:ascii="Calibri" w:eastAsia="Calibri" w:hAnsi="Calibri" w:cs="Arial" w:hint="cs"/>
          <w:noProof w:val="0"/>
          <w:rtl/>
        </w:rPr>
        <w:t>,</w:t>
      </w:r>
      <w:r w:rsidR="002203FA" w:rsidRPr="002203FA">
        <w:rPr>
          <w:rFonts w:ascii="Calibri" w:eastAsia="Calibri" w:hAnsi="Calibri" w:cs="Arial"/>
          <w:noProof w:val="0"/>
          <w:rtl/>
        </w:rPr>
        <w:t xml:space="preserve"> כי השניים נישאו על פי הדין השרעי, וזאת מבלי לקבוע דבר לגבי מעמדה (או היעדר מעמדה) כשוהה בישראל (ראו בעניין זה את שאמרנו בעניין אבו-סקיק הנ"ל: </w:t>
      </w:r>
      <w:r w:rsidR="002203FA" w:rsidRPr="002203FA">
        <w:rPr>
          <w:rFonts w:ascii="Miriam" w:eastAsia="Calibri" w:hAnsi="Miriam" w:cs="Miriam"/>
          <w:b/>
          <w:bCs/>
          <w:noProof w:val="0"/>
          <w:rtl/>
        </w:rPr>
        <w:t>"בתי הדין השרעיים אשר מקפידים לרשום נישואין שנערכו לפי דיני השריעה המוסלמית, אינם פועלים בניגוד לחוק האזרחי... כאשר הנישואין נערכים שלא בבתי הדין השרעיים שבתחומי מדינת ישראל (כגון במקרה שבפנינו, עת נערכו הנישואין השניים בבית דין שרעי של הרשות הפלשתינית), אין לבתי הדין שליטה על הצדדים או על מידת ההלימה של הנישואין למשפט האזרחי, ואלה מובאים בפני בית הדין לאשרור בלבד"</w:t>
      </w:r>
      <w:r w:rsidR="002203FA" w:rsidRPr="002203FA">
        <w:rPr>
          <w:rFonts w:ascii="Calibri" w:eastAsia="Calibri" w:hAnsi="Calibri" w:cs="Arial"/>
          <w:noProof w:val="0"/>
          <w:rtl/>
        </w:rPr>
        <w:t>).</w:t>
      </w:r>
    </w:p>
    <w:p w:rsidR="002203FA" w:rsidRPr="002203FA" w:rsidRDefault="002203FA" w:rsidP="00E8295D">
      <w:pPr>
        <w:spacing w:after="160" w:line="360" w:lineRule="auto"/>
        <w:jc w:val="both"/>
        <w:rPr>
          <w:rFonts w:ascii="Calibri" w:eastAsia="Calibri" w:hAnsi="Calibri" w:cs="Arial"/>
          <w:noProof w:val="0"/>
          <w:rtl/>
        </w:rPr>
      </w:pPr>
      <w:r w:rsidRPr="002203FA">
        <w:rPr>
          <w:rFonts w:ascii="Calibri" w:eastAsia="Calibri" w:hAnsi="Calibri" w:cs="Arial"/>
          <w:noProof w:val="0"/>
          <w:rtl/>
        </w:rPr>
        <w:t>יתרה מכך, הנימוק לאי הרשעתו של המשיב כדי לא להכשילו בעתיד (</w:t>
      </w:r>
      <w:r w:rsidRPr="002203FA">
        <w:rPr>
          <w:rFonts w:ascii="Miriam" w:eastAsia="Calibri" w:hAnsi="Miriam" w:cs="Miriam"/>
          <w:b/>
          <w:bCs/>
          <w:noProof w:val="0"/>
          <w:rtl/>
        </w:rPr>
        <w:t>"אני סבור כי הטלת מאסר על תנאי או התחייבות בנסיבות הנאשם מעמידה את הנאשם בפני כתב אישום חדש וצורך להפעלת ענישה זו הצופה פני עתיד"</w:t>
      </w:r>
      <w:r w:rsidR="00EB7067">
        <w:rPr>
          <w:rFonts w:ascii="Calibri" w:eastAsia="Calibri" w:hAnsi="Calibri" w:cs="Arial" w:hint="cs"/>
          <w:noProof w:val="0"/>
          <w:rtl/>
        </w:rPr>
        <w:t>, כך צוין בפסק הדין קמא</w:t>
      </w:r>
      <w:r w:rsidRPr="002203FA">
        <w:rPr>
          <w:rFonts w:ascii="Calibri" w:eastAsia="Calibri" w:hAnsi="Calibri" w:cs="Arial"/>
          <w:noProof w:val="0"/>
          <w:rtl/>
        </w:rPr>
        <w:t xml:space="preserve">), שוב אינו </w:t>
      </w:r>
      <w:r w:rsidR="00EB7067">
        <w:rPr>
          <w:rFonts w:ascii="Calibri" w:eastAsia="Calibri" w:hAnsi="Calibri" w:cs="Arial" w:hint="cs"/>
          <w:noProof w:val="0"/>
          <w:rtl/>
        </w:rPr>
        <w:t xml:space="preserve">יכול להיות </w:t>
      </w:r>
      <w:r w:rsidRPr="002203FA">
        <w:rPr>
          <w:rFonts w:ascii="Calibri" w:eastAsia="Calibri" w:hAnsi="Calibri" w:cs="Arial"/>
          <w:noProof w:val="0"/>
          <w:rtl/>
        </w:rPr>
        <w:t>נימוק להקלה בעונשו. ביהמ"ש יוצא מתוך ההנחה, כי מובן שהמשיב ימשיך להפר את החוק (כפי שעשה במשך שנים ארוכות עד כה); כי ההליך הפלילי לא ירתיעו; וכי המדינה אחראית להפרה עתידית אפשרית זו במידה ולא תיעתר לדרישתו להתיר שהייתה של אשתו בתחומי המדינה בניגוד למדיניות מתן ההיתרים שלה. מדובר</w:t>
      </w:r>
      <w:r w:rsidR="00E8295D">
        <w:rPr>
          <w:rFonts w:ascii="Calibri" w:eastAsia="Calibri" w:hAnsi="Calibri" w:cs="Arial" w:hint="cs"/>
          <w:noProof w:val="0"/>
          <w:rtl/>
        </w:rPr>
        <w:t>, למעשה,</w:t>
      </w:r>
      <w:r w:rsidRPr="002203FA">
        <w:rPr>
          <w:rFonts w:ascii="Calibri" w:eastAsia="Calibri" w:hAnsi="Calibri" w:cs="Arial"/>
          <w:noProof w:val="0"/>
          <w:rtl/>
        </w:rPr>
        <w:t xml:space="preserve"> בעקיפה של הליכי ההסדרה הרגילים</w:t>
      </w:r>
      <w:r w:rsidR="00E8295D">
        <w:rPr>
          <w:rFonts w:ascii="Calibri" w:eastAsia="Calibri" w:hAnsi="Calibri" w:cs="Arial" w:hint="cs"/>
          <w:noProof w:val="0"/>
          <w:rtl/>
        </w:rPr>
        <w:t xml:space="preserve"> והמקובלים</w:t>
      </w:r>
      <w:r w:rsidRPr="002203FA">
        <w:rPr>
          <w:rFonts w:ascii="Calibri" w:eastAsia="Calibri" w:hAnsi="Calibri" w:cs="Arial"/>
          <w:noProof w:val="0"/>
          <w:rtl/>
        </w:rPr>
        <w:t xml:space="preserve">, שהמשיב ואשתו כשלו בהם, וכפיית הרשויות לרצונו של המשיב להינשא לאישה ולהביאה להתגורר עמו דווקא בתחומי המדינה, חרף </w:t>
      </w:r>
      <w:r w:rsidR="00E8295D">
        <w:rPr>
          <w:rFonts w:ascii="Calibri" w:eastAsia="Calibri" w:hAnsi="Calibri" w:cs="Arial" w:hint="cs"/>
          <w:noProof w:val="0"/>
          <w:rtl/>
        </w:rPr>
        <w:t>סירוב הרשויות לאשר זאת</w:t>
      </w:r>
      <w:r w:rsidRPr="002203FA">
        <w:rPr>
          <w:rFonts w:ascii="Calibri" w:eastAsia="Calibri" w:hAnsi="Calibri" w:cs="Arial"/>
          <w:noProof w:val="0"/>
          <w:rtl/>
        </w:rPr>
        <w:t>. צדקה באת כוח המערערת ע</w:t>
      </w:r>
      <w:r w:rsidR="00E8295D">
        <w:rPr>
          <w:rFonts w:ascii="Calibri" w:eastAsia="Calibri" w:hAnsi="Calibri" w:cs="Arial" w:hint="cs"/>
          <w:noProof w:val="0"/>
          <w:rtl/>
        </w:rPr>
        <w:t>ת טענה</w:t>
      </w:r>
      <w:r w:rsidRPr="002203FA">
        <w:rPr>
          <w:rFonts w:ascii="Calibri" w:eastAsia="Calibri" w:hAnsi="Calibri" w:cs="Arial"/>
          <w:noProof w:val="0"/>
          <w:rtl/>
        </w:rPr>
        <w:t xml:space="preserve">, כי בקביעות אלה למעשה העניק ביהמ"ש למשיב מעין </w:t>
      </w:r>
      <w:r w:rsidRPr="002203FA">
        <w:rPr>
          <w:rFonts w:ascii="Miriam" w:eastAsia="Calibri" w:hAnsi="Miriam" w:cs="Miriam"/>
          <w:b/>
          <w:bCs/>
          <w:noProof w:val="0"/>
          <w:rtl/>
        </w:rPr>
        <w:t>"חסינות שיפוטית"</w:t>
      </w:r>
      <w:r w:rsidRPr="002203FA">
        <w:rPr>
          <w:rFonts w:ascii="Calibri" w:eastAsia="Calibri" w:hAnsi="Calibri" w:cs="Arial"/>
          <w:noProof w:val="0"/>
          <w:rtl/>
        </w:rPr>
        <w:t xml:space="preserve"> להמשיך לבצע עבירה של הלנה שלא כחוק מתוך ידיעה שלא ייענש בגינה.</w:t>
      </w:r>
    </w:p>
    <w:p w:rsidR="002203FA" w:rsidRPr="002203FA" w:rsidRDefault="002203FA" w:rsidP="002203FA">
      <w:pPr>
        <w:spacing w:after="160" w:line="360" w:lineRule="auto"/>
        <w:jc w:val="both"/>
        <w:rPr>
          <w:rFonts w:ascii="Calibri" w:eastAsia="Calibri" w:hAnsi="Calibri" w:cs="Arial"/>
          <w:noProof w:val="0"/>
          <w:rtl/>
        </w:rPr>
      </w:pPr>
      <w:r w:rsidRPr="002203FA">
        <w:rPr>
          <w:rFonts w:ascii="Calibri" w:eastAsia="Calibri" w:hAnsi="Calibri" w:cs="Arial"/>
          <w:noProof w:val="0"/>
          <w:rtl/>
        </w:rPr>
        <w:lastRenderedPageBreak/>
        <w:t xml:space="preserve">גם לא ברור מדוע סבר ביהמ"ש, כי </w:t>
      </w:r>
      <w:r w:rsidRPr="002203FA">
        <w:rPr>
          <w:rFonts w:ascii="Miriam" w:eastAsia="Calibri" w:hAnsi="Miriam" w:cs="Miriam"/>
          <w:b/>
          <w:bCs/>
          <w:noProof w:val="0"/>
          <w:rtl/>
        </w:rPr>
        <w:t>"עצם העמדתו לדין היוותה עבור הנאשם גורם מרתיע"</w:t>
      </w:r>
      <w:r w:rsidRPr="002203FA">
        <w:rPr>
          <w:rFonts w:ascii="Calibri" w:eastAsia="Calibri" w:hAnsi="Calibri" w:cs="Arial"/>
          <w:noProof w:val="0"/>
          <w:rtl/>
        </w:rPr>
        <w:t xml:space="preserve">, או כי </w:t>
      </w:r>
      <w:r w:rsidRPr="002203FA">
        <w:rPr>
          <w:rFonts w:ascii="Miriam" w:eastAsia="Calibri" w:hAnsi="Miriam" w:cs="Miriam"/>
          <w:b/>
          <w:bCs/>
          <w:noProof w:val="0"/>
          <w:rtl/>
        </w:rPr>
        <w:t>"הנאשם נטל אחריות מלאה על מעשיו"</w:t>
      </w:r>
      <w:r w:rsidRPr="002203FA">
        <w:rPr>
          <w:rFonts w:ascii="Calibri" w:eastAsia="Calibri" w:hAnsi="Calibri" w:cs="Arial"/>
          <w:noProof w:val="0"/>
          <w:rtl/>
        </w:rPr>
        <w:t>, שהרי המשיב לא שינה דרכיו נוכח ההליך המשפטי; והמשיך לראות בו ובמשפחתו קורבנות של הרשויות בישראל, אשר ממשיכות לסרב להעניק לאשתו אישור שהייה בישראל, למרות בקשותיו ולמרות שהשניי</w:t>
      </w:r>
      <w:r w:rsidR="005556A2">
        <w:rPr>
          <w:rFonts w:ascii="Calibri" w:eastAsia="Calibri" w:hAnsi="Calibri" w:cs="Arial"/>
          <w:noProof w:val="0"/>
          <w:rtl/>
        </w:rPr>
        <w:t xml:space="preserve">ם עשו, ועדיין עושים, דין לעצמם </w:t>
      </w:r>
      <w:r w:rsidR="005556A2">
        <w:rPr>
          <w:rFonts w:ascii="Calibri" w:eastAsia="Calibri" w:hAnsi="Calibri" w:cs="Arial" w:hint="cs"/>
          <w:noProof w:val="0"/>
          <w:rtl/>
        </w:rPr>
        <w:t xml:space="preserve">עת </w:t>
      </w:r>
      <w:r w:rsidRPr="002203FA">
        <w:rPr>
          <w:rFonts w:ascii="Calibri" w:eastAsia="Calibri" w:hAnsi="Calibri" w:cs="Arial"/>
          <w:noProof w:val="0"/>
          <w:rtl/>
        </w:rPr>
        <w:t>היא ממשיכה להתגורר בישראל. ושלא אובן לא נכון; אינני סבורה, חלילה, כי על המשיב לפרק את משפחתו או לגרש את אישתו, אולם המשפחה יכולה להמשיך לחיות כמשפחה גם במקומות אחרים, כל עוד הרשויות בישראל אינן מעניקות לאישה היתר לשהות בישראל כחוק.</w:t>
      </w:r>
    </w:p>
    <w:p w:rsidR="002203FA" w:rsidRPr="002203FA" w:rsidRDefault="00BD3CB4" w:rsidP="0095249B">
      <w:pPr>
        <w:spacing w:after="160" w:line="360" w:lineRule="auto"/>
        <w:jc w:val="both"/>
        <w:rPr>
          <w:rFonts w:ascii="Calibri" w:eastAsia="Calibri" w:hAnsi="Calibri" w:cs="Arial"/>
          <w:noProof w:val="0"/>
          <w:rtl/>
        </w:rPr>
      </w:pPr>
      <w:r>
        <w:rPr>
          <w:rFonts w:ascii="Calibri" w:eastAsia="Calibri" w:hAnsi="Calibri" w:cs="Arial" w:hint="cs"/>
          <w:noProof w:val="0"/>
          <w:rtl/>
        </w:rPr>
        <w:t xml:space="preserve">נדמה, כי </w:t>
      </w:r>
      <w:r w:rsidR="002203FA" w:rsidRPr="002203FA">
        <w:rPr>
          <w:rFonts w:ascii="Calibri" w:eastAsia="Calibri" w:hAnsi="Calibri" w:cs="Arial"/>
          <w:noProof w:val="0"/>
          <w:rtl/>
        </w:rPr>
        <w:t>ביהמ"ש אף טעה, כאשר סבר שאין פסיקה שדנה במקרים דומים, ודי אם נפנה לת"פ</w:t>
      </w:r>
      <w:r w:rsidR="0095249B">
        <w:rPr>
          <w:rFonts w:ascii="Calibri" w:eastAsia="Calibri" w:hAnsi="Calibri" w:cs="Arial" w:hint="cs"/>
          <w:noProof w:val="0"/>
          <w:rtl/>
        </w:rPr>
        <w:t xml:space="preserve"> (ב"ש)</w:t>
      </w:r>
      <w:r w:rsidR="002203FA" w:rsidRPr="002203FA">
        <w:rPr>
          <w:rFonts w:ascii="Calibri" w:eastAsia="Calibri" w:hAnsi="Calibri" w:cs="Arial"/>
          <w:noProof w:val="0"/>
          <w:rtl/>
        </w:rPr>
        <w:t xml:space="preserve"> 41362-06-19 </w:t>
      </w:r>
      <w:r w:rsidR="002203FA" w:rsidRPr="002203FA">
        <w:rPr>
          <w:rFonts w:ascii="Calibri" w:eastAsia="Calibri" w:hAnsi="Calibri" w:cs="Arial"/>
          <w:b/>
          <w:bCs/>
          <w:noProof w:val="0"/>
          <w:rtl/>
        </w:rPr>
        <w:t>מדינת ישראל נ' עודה אבו-גודה</w:t>
      </w:r>
      <w:r w:rsidR="002203FA" w:rsidRPr="002203FA">
        <w:rPr>
          <w:rFonts w:ascii="Calibri" w:eastAsia="Calibri" w:hAnsi="Calibri" w:cs="Arial"/>
          <w:noProof w:val="0"/>
          <w:rtl/>
        </w:rPr>
        <w:t xml:space="preserve"> (מיום 20.07.22)</w:t>
      </w:r>
      <w:r w:rsidR="0095249B">
        <w:rPr>
          <w:rFonts w:ascii="Calibri" w:eastAsia="Calibri" w:hAnsi="Calibri" w:cs="Arial" w:hint="cs"/>
          <w:noProof w:val="0"/>
          <w:rtl/>
        </w:rPr>
        <w:t>,</w:t>
      </w:r>
      <w:r w:rsidR="002203FA" w:rsidRPr="002203FA">
        <w:rPr>
          <w:rFonts w:ascii="Calibri" w:eastAsia="Calibri" w:hAnsi="Calibri" w:cs="Arial"/>
          <w:noProof w:val="0"/>
          <w:rtl/>
        </w:rPr>
        <w:t xml:space="preserve"> ואשר ערעור שהוגש עליו נמחק בהמלצת ביהמ"ש (עפ"ג [באר-שבע] 4097-09-22, </w:t>
      </w:r>
      <w:r w:rsidR="002203FA" w:rsidRPr="002203FA">
        <w:rPr>
          <w:rFonts w:ascii="Calibri" w:eastAsia="Calibri" w:hAnsi="Calibri" w:cs="Arial"/>
          <w:b/>
          <w:bCs/>
          <w:noProof w:val="0"/>
          <w:rtl/>
        </w:rPr>
        <w:t>גודה נ' מדינת ישראל</w:t>
      </w:r>
      <w:r w:rsidR="002203FA" w:rsidRPr="002203FA">
        <w:rPr>
          <w:rFonts w:ascii="Calibri" w:eastAsia="Calibri" w:hAnsi="Calibri" w:cs="Arial"/>
          <w:noProof w:val="0"/>
          <w:rtl/>
        </w:rPr>
        <w:t>, מיום 23.11.22). במקרה זה הורשע הנאשם על פי הודאתו בביצוע עבירה של הלנת שוהה בלתי חוקי בנסיבות מחמירות (לפי סעיף 12ב3(א)(2) לחוק הכניסה לישראל), לאחר שנשא לאישה תושבת הרשות הפלסטינית (</w:t>
      </w:r>
      <w:r w:rsidR="0095249B">
        <w:rPr>
          <w:rFonts w:ascii="Calibri" w:eastAsia="Calibri" w:hAnsi="Calibri" w:cs="Arial" w:hint="cs"/>
          <w:noProof w:val="0"/>
          <w:rtl/>
        </w:rPr>
        <w:t xml:space="preserve">השניים </w:t>
      </w:r>
      <w:r w:rsidR="002203FA" w:rsidRPr="002203FA">
        <w:rPr>
          <w:rFonts w:ascii="Calibri" w:eastAsia="Calibri" w:hAnsi="Calibri" w:cs="Arial"/>
          <w:noProof w:val="0"/>
          <w:rtl/>
        </w:rPr>
        <w:t xml:space="preserve">היו נשואים 35 שנה ולהם 14 ילדים משותפים), והלין אותה במשך 5 שנים ברציפות בביתו, למרות שלא היה בידה אישור שהייה כדין בתחומי מדינת ישראל. בימ"ש השלום דן אותו ל-8 חודשי מאסר בפועל </w:t>
      </w:r>
      <w:r w:rsidR="0095249B">
        <w:rPr>
          <w:rFonts w:ascii="Calibri" w:eastAsia="Calibri" w:hAnsi="Calibri" w:cs="Arial" w:hint="cs"/>
          <w:noProof w:val="0"/>
          <w:rtl/>
        </w:rPr>
        <w:t>לריצוי</w:t>
      </w:r>
      <w:r w:rsidR="002203FA" w:rsidRPr="002203FA">
        <w:rPr>
          <w:rFonts w:ascii="Calibri" w:eastAsia="Calibri" w:hAnsi="Calibri" w:cs="Arial"/>
          <w:noProof w:val="0"/>
          <w:rtl/>
        </w:rPr>
        <w:t xml:space="preserve"> בעבודות שירות, ל-9 חודשי מאסר מותנים, לתשלום קנס בסך 15,000 ₪ ולחתימה על התחייבות בסך 6,000 ₪, וזאת לאחר שהתלבט באם לכבד את הסדר הטווח אליו הגיעו הצד</w:t>
      </w:r>
      <w:r w:rsidR="0095249B">
        <w:rPr>
          <w:rFonts w:ascii="Calibri" w:eastAsia="Calibri" w:hAnsi="Calibri" w:cs="Arial"/>
          <w:noProof w:val="0"/>
          <w:rtl/>
        </w:rPr>
        <w:t xml:space="preserve">דים (במסגרתו התביעה עתרה להטלת </w:t>
      </w:r>
      <w:r w:rsidR="002203FA" w:rsidRPr="002203FA">
        <w:rPr>
          <w:rFonts w:ascii="Calibri" w:eastAsia="Calibri" w:hAnsi="Calibri" w:cs="Arial"/>
          <w:noProof w:val="0"/>
          <w:rtl/>
        </w:rPr>
        <w:t>עונש של 8 חודשים בעבודות שירות ואילו ההגנה טענה לאי הרשעה), וזאת לאחר שסבר שמדובר בענישה מקלה במיוחד (</w:t>
      </w:r>
      <w:r w:rsidR="002203FA" w:rsidRPr="002203FA">
        <w:rPr>
          <w:rFonts w:ascii="Miriam" w:eastAsia="Calibri" w:hAnsi="Miriam" w:cs="Miriam"/>
          <w:b/>
          <w:bCs/>
          <w:noProof w:val="0"/>
          <w:rtl/>
        </w:rPr>
        <w:t>"קיים צורך אמתי בהרתעת הנאשם והרתעת עבריינים בכוח, שרובם אנשים נורמטיביים, המתפתים לבצע עבירות של הלנת שוהים בלתי חוקיים בתוך שטחי מדינת ישראל משיקולים שונים השמורים עימם. במקרה דנן ולאור כך שמדובר באשת הנאשם, היה בידיו של הנאשם, במקום לעבור את העבירות ביודעו כי הוא מבצען, להתגורר עם אשתו באזור מגוריה... אני שם לנגד עיני את חומרת העבירה אותה ביצע הנאשם, בנסיבות ביצועה של עבירה זו, עת הלין בביתו את אשתו במשך שנים תוך ידיעה שהדבר אסור, והנני ער לשיקולי ההרתעה המחייבים החמרה בענישה. מצד שני, נתתי דעתי לכך שבסופו של דבר הנאשם הורשע בעבירה של הלנה של שוהה בלתי חוקי בכך שהלין הנאשם את אשתו ולא אדם זר... וכן נתתי דעתי להודאת הנאשם בעבירות נשוא כתב האישום אך גם לצמצום נטילת האחריות על ידי הנאשם, לגילו, למצבו המשפחתי ולהמלצת שירות המבחן...</w:t>
      </w:r>
      <w:r w:rsidR="002203FA" w:rsidRPr="002203FA">
        <w:rPr>
          <w:rFonts w:ascii="Calibri" w:eastAsia="Calibri" w:hAnsi="Calibri" w:cs="Arial"/>
          <w:noProof w:val="0"/>
          <w:rtl/>
        </w:rPr>
        <w:t>"</w:t>
      </w:r>
      <w:r w:rsidR="002203FA" w:rsidRPr="002203FA">
        <w:rPr>
          <w:rFonts w:ascii="Calibri" w:eastAsia="Calibri" w:hAnsi="Calibri" w:cs="Arial"/>
          <w:b/>
          <w:bCs/>
          <w:noProof w:val="0"/>
          <w:rtl/>
        </w:rPr>
        <w:t xml:space="preserve"> </w:t>
      </w:r>
      <w:r w:rsidR="002203FA" w:rsidRPr="002203FA">
        <w:rPr>
          <w:rFonts w:ascii="Calibri" w:eastAsia="Calibri" w:hAnsi="Calibri" w:cs="Arial"/>
          <w:noProof w:val="0"/>
          <w:rtl/>
        </w:rPr>
        <w:t>סעיף 15 לגזר הדין).</w:t>
      </w:r>
    </w:p>
    <w:p w:rsidR="002203FA" w:rsidRPr="002203FA" w:rsidRDefault="002203FA" w:rsidP="002203FA">
      <w:pPr>
        <w:spacing w:after="160" w:line="360" w:lineRule="auto"/>
        <w:jc w:val="both"/>
        <w:rPr>
          <w:rFonts w:ascii="Calibri" w:eastAsia="Calibri" w:hAnsi="Calibri" w:cs="Arial"/>
          <w:noProof w:val="0"/>
          <w:rtl/>
        </w:rPr>
      </w:pPr>
      <w:r w:rsidRPr="002203FA">
        <w:rPr>
          <w:rFonts w:ascii="Calibri" w:eastAsia="Calibri" w:hAnsi="Calibri" w:cs="Arial"/>
          <w:noProof w:val="0"/>
          <w:rtl/>
        </w:rPr>
        <w:lastRenderedPageBreak/>
        <w:t xml:space="preserve">לא נוכל גם לקבל את קביעתו של ביהמ"ש בכל הנוגע לפרשנות שנתן להלכת </w:t>
      </w:r>
      <w:r w:rsidRPr="002203FA">
        <w:rPr>
          <w:rFonts w:ascii="Calibri" w:eastAsia="Calibri" w:hAnsi="Calibri" w:cs="Arial"/>
          <w:b/>
          <w:bCs/>
          <w:noProof w:val="0"/>
          <w:rtl/>
        </w:rPr>
        <w:t>כתב</w:t>
      </w:r>
      <w:r w:rsidRPr="002203FA">
        <w:rPr>
          <w:rFonts w:ascii="Calibri" w:eastAsia="Calibri" w:hAnsi="Calibri" w:cs="Arial"/>
          <w:noProof w:val="0"/>
          <w:rtl/>
        </w:rPr>
        <w:t>, הן כאשר סבר שהעבירה שיוחסה למשיב היא כזו שמאפשרת אי הרשעה חרף חומרתה, והן כאשר סבר שניתן להורות על אי הרשעה גם כאשר לא הוכח נזק קונקרטי שייגרם לנאשם כתוצא</w:t>
      </w:r>
      <w:r w:rsidR="00BD3CB4">
        <w:rPr>
          <w:rFonts w:ascii="Calibri" w:eastAsia="Calibri" w:hAnsi="Calibri" w:cs="Arial" w:hint="cs"/>
          <w:noProof w:val="0"/>
          <w:rtl/>
        </w:rPr>
        <w:t>ה</w:t>
      </w:r>
      <w:r w:rsidRPr="002203FA">
        <w:rPr>
          <w:rFonts w:ascii="Calibri" w:eastAsia="Calibri" w:hAnsi="Calibri" w:cs="Arial"/>
          <w:noProof w:val="0"/>
          <w:rtl/>
        </w:rPr>
        <w:t xml:space="preserve"> מהרשעתו בדין. </w:t>
      </w:r>
    </w:p>
    <w:p w:rsidR="002203FA" w:rsidRPr="002203FA" w:rsidRDefault="002203FA" w:rsidP="00BD3CB4">
      <w:pPr>
        <w:spacing w:after="160" w:line="360" w:lineRule="auto"/>
        <w:jc w:val="both"/>
        <w:rPr>
          <w:rFonts w:ascii="Calibri" w:eastAsia="Calibri" w:hAnsi="Calibri" w:cs="Arial"/>
          <w:noProof w:val="0"/>
          <w:rtl/>
        </w:rPr>
      </w:pPr>
      <w:r w:rsidRPr="002203FA">
        <w:rPr>
          <w:rFonts w:ascii="Calibri" w:eastAsia="Calibri" w:hAnsi="Calibri" w:cs="Arial"/>
          <w:noProof w:val="0"/>
          <w:rtl/>
        </w:rPr>
        <w:t>לא פעם צוי</w:t>
      </w:r>
      <w:r w:rsidR="00BD3CB4">
        <w:rPr>
          <w:rFonts w:ascii="Calibri" w:eastAsia="Calibri" w:hAnsi="Calibri" w:cs="Arial" w:hint="cs"/>
          <w:noProof w:val="0"/>
          <w:rtl/>
        </w:rPr>
        <w:t>נה</w:t>
      </w:r>
      <w:r w:rsidRPr="002203FA">
        <w:rPr>
          <w:rFonts w:ascii="Calibri" w:eastAsia="Calibri" w:hAnsi="Calibri" w:cs="Arial"/>
          <w:noProof w:val="0"/>
          <w:rtl/>
        </w:rPr>
        <w:t xml:space="preserve"> בפסיקה</w:t>
      </w:r>
      <w:r w:rsidR="00BD3CB4">
        <w:rPr>
          <w:rFonts w:ascii="Calibri" w:eastAsia="Calibri" w:hAnsi="Calibri" w:cs="Arial" w:hint="cs"/>
          <w:noProof w:val="0"/>
          <w:rtl/>
        </w:rPr>
        <w:t>,</w:t>
      </w:r>
      <w:r w:rsidRPr="002203FA">
        <w:rPr>
          <w:rFonts w:ascii="Calibri" w:eastAsia="Calibri" w:hAnsi="Calibri" w:cs="Arial"/>
          <w:noProof w:val="0"/>
          <w:rtl/>
        </w:rPr>
        <w:t xml:space="preserve"> </w:t>
      </w:r>
      <w:r w:rsidR="00BD3CB4">
        <w:rPr>
          <w:rFonts w:ascii="Calibri" w:eastAsia="Calibri" w:hAnsi="Calibri" w:cs="Arial" w:hint="cs"/>
          <w:noProof w:val="0"/>
          <w:rtl/>
        </w:rPr>
        <w:t>על ידי</w:t>
      </w:r>
      <w:r w:rsidRPr="002203FA">
        <w:rPr>
          <w:rFonts w:ascii="Calibri" w:eastAsia="Calibri" w:hAnsi="Calibri" w:cs="Arial"/>
          <w:noProof w:val="0"/>
          <w:rtl/>
        </w:rPr>
        <w:t xml:space="preserve"> בתי המשפט השונים, </w:t>
      </w:r>
      <w:r w:rsidR="00BD3CB4">
        <w:rPr>
          <w:rFonts w:ascii="Calibri" w:eastAsia="Calibri" w:hAnsi="Calibri" w:cs="Arial"/>
          <w:noProof w:val="0"/>
          <w:rtl/>
        </w:rPr>
        <w:t xml:space="preserve">ההלכה </w:t>
      </w:r>
      <w:r w:rsidR="00BD3CB4">
        <w:rPr>
          <w:rFonts w:ascii="Calibri" w:eastAsia="Calibri" w:hAnsi="Calibri" w:cs="Arial" w:hint="cs"/>
          <w:noProof w:val="0"/>
          <w:rtl/>
        </w:rPr>
        <w:t>ולפיה</w:t>
      </w:r>
      <w:r w:rsidR="00BD3CB4">
        <w:rPr>
          <w:rFonts w:ascii="Calibri" w:eastAsia="Calibri" w:hAnsi="Calibri" w:cs="Arial"/>
          <w:noProof w:val="0"/>
          <w:rtl/>
        </w:rPr>
        <w:t xml:space="preserve"> </w:t>
      </w:r>
      <w:r w:rsidRPr="002203FA">
        <w:rPr>
          <w:rFonts w:ascii="Calibri" w:eastAsia="Calibri" w:hAnsi="Calibri" w:cs="Arial"/>
          <w:noProof w:val="0"/>
          <w:rtl/>
        </w:rPr>
        <w:t>הימנעות מהרשעה הינה בגדר החריג ש</w:t>
      </w:r>
      <w:r w:rsidR="00BD3CB4">
        <w:rPr>
          <w:rFonts w:ascii="Calibri" w:eastAsia="Calibri" w:hAnsi="Calibri" w:cs="Arial"/>
          <w:noProof w:val="0"/>
          <w:rtl/>
        </w:rPr>
        <w:t xml:space="preserve">בחריגים, </w:t>
      </w:r>
      <w:r w:rsidR="00BD3CB4">
        <w:rPr>
          <w:rFonts w:ascii="Calibri" w:eastAsia="Calibri" w:hAnsi="Calibri" w:cs="Arial" w:hint="cs"/>
          <w:noProof w:val="0"/>
          <w:rtl/>
        </w:rPr>
        <w:t xml:space="preserve">ואילו </w:t>
      </w:r>
      <w:r w:rsidRPr="002203FA">
        <w:rPr>
          <w:rFonts w:ascii="Calibri" w:eastAsia="Calibri" w:hAnsi="Calibri" w:cs="Arial"/>
          <w:noProof w:val="0"/>
          <w:rtl/>
        </w:rPr>
        <w:t xml:space="preserve">הכלל הוא, כי מי שביצע עבירה יש להרשיעו בדין, וזאת כחלק מאכיפת חוק שוויונית ומאינטרס ההרתעה הציבורית. נקבע, כי </w:t>
      </w:r>
      <w:r w:rsidRPr="002203FA">
        <w:rPr>
          <w:rFonts w:ascii="Miriam" w:eastAsia="Calibri" w:hAnsi="Miriam" w:cs="Miriam"/>
          <w:b/>
          <w:bCs/>
          <w:noProof w:val="0"/>
          <w:rtl/>
        </w:rPr>
        <w:t>"הימנעות מהרשעה שמורה למקרים מיוחדים בלבד, בהם שוכנע ביהמ"ש, כי הפגיעה הקשה שתגרם לנאשם בעטיה של הרשעה, אינה שקולה כלל ועיקר לתועלת הציבורית המעטה שזו תניב"</w:t>
      </w:r>
      <w:r w:rsidRPr="002203FA">
        <w:rPr>
          <w:rFonts w:ascii="Calibri" w:eastAsia="Calibri" w:hAnsi="Calibri" w:cs="Arial"/>
          <w:noProof w:val="0"/>
          <w:rtl/>
        </w:rPr>
        <w:t xml:space="preserve"> (ע"פ 9150/08 </w:t>
      </w:r>
      <w:r w:rsidRPr="002203FA">
        <w:rPr>
          <w:rFonts w:ascii="Calibri" w:eastAsia="Calibri" w:hAnsi="Calibri" w:cs="Arial"/>
          <w:b/>
          <w:bCs/>
          <w:noProof w:val="0"/>
          <w:rtl/>
        </w:rPr>
        <w:t>מדינת ישראל נ' איתמר ביטון</w:t>
      </w:r>
      <w:r w:rsidRPr="002203FA">
        <w:rPr>
          <w:rFonts w:ascii="Calibri" w:eastAsia="Calibri" w:hAnsi="Calibri" w:cs="Arial"/>
          <w:noProof w:val="0"/>
          <w:rtl/>
        </w:rPr>
        <w:t xml:space="preserve">, מיום 23/07/09, פסקה 7). אכן, ביהמ"ש מוסמך להימנע מהרשעתו של נאשם, אך ההימנעות מהרשעה של נאשם בגיר שביצע עבירה, מהווה חריג, שיופעל רק בנסיבות מיוחדות ויוצאות דופן ביותר (ר', למשל, ע"פ 8528/12 </w:t>
      </w:r>
      <w:r w:rsidRPr="002203FA">
        <w:rPr>
          <w:rFonts w:ascii="Calibri" w:eastAsia="Calibri" w:hAnsi="Calibri" w:cs="Arial"/>
          <w:b/>
          <w:bCs/>
          <w:noProof w:val="0"/>
          <w:rtl/>
        </w:rPr>
        <w:t>אלירן ציפורה נ' מדינת ישראל</w:t>
      </w:r>
      <w:r w:rsidRPr="002203FA">
        <w:rPr>
          <w:rFonts w:ascii="Calibri" w:eastAsia="Calibri" w:hAnsi="Calibri" w:cs="Arial"/>
          <w:noProof w:val="0"/>
          <w:rtl/>
        </w:rPr>
        <w:t>, חוות דעתו של כב' השופט שוהם מיום 03.03.13 ולפסקי הדין המובאים שם)</w:t>
      </w:r>
      <w:r w:rsidR="00BD3CB4">
        <w:rPr>
          <w:rFonts w:ascii="Calibri" w:eastAsia="Calibri" w:hAnsi="Calibri" w:cs="Arial" w:hint="cs"/>
          <w:noProof w:val="0"/>
          <w:rtl/>
        </w:rPr>
        <w:t>, כאשר</w:t>
      </w:r>
      <w:r w:rsidR="00BD3CB4" w:rsidRPr="002203FA">
        <w:rPr>
          <w:rFonts w:ascii="Calibri" w:eastAsia="Calibri" w:hAnsi="Calibri" w:cs="Arial"/>
          <w:noProof w:val="0"/>
          <w:rtl/>
        </w:rPr>
        <w:t xml:space="preserve"> ההכרעה </w:t>
      </w:r>
      <w:r w:rsidR="00BD3CB4">
        <w:rPr>
          <w:rFonts w:ascii="Calibri" w:eastAsia="Calibri" w:hAnsi="Calibri" w:cs="Arial" w:hint="cs"/>
          <w:noProof w:val="0"/>
          <w:rtl/>
        </w:rPr>
        <w:t xml:space="preserve">בשאלת אי הרשעתו של נאשם, </w:t>
      </w:r>
      <w:r w:rsidR="00BD3CB4" w:rsidRPr="002203FA">
        <w:rPr>
          <w:rFonts w:ascii="Calibri" w:eastAsia="Calibri" w:hAnsi="Calibri" w:cs="Arial"/>
          <w:noProof w:val="0"/>
          <w:rtl/>
        </w:rPr>
        <w:t>צריך שתהיה פרי איזון בין האינטרס האישי של הנאשם לבין האינטרס הציבורי לאכיפה מלאה של הדין.</w:t>
      </w:r>
      <w:r w:rsidRPr="002203FA">
        <w:rPr>
          <w:rFonts w:ascii="Calibri" w:eastAsia="Calibri" w:hAnsi="Calibri" w:cs="Arial"/>
          <w:noProof w:val="0"/>
          <w:rtl/>
        </w:rPr>
        <w:t xml:space="preserve"> תחילה, על ביהמ"ש לבחון את סוג העבירה וטיבה, על רקע הנסיבות הקונקרטיות של המקרה, ולווד</w:t>
      </w:r>
      <w:r w:rsidR="00BD3CB4">
        <w:rPr>
          <w:rFonts w:ascii="Calibri" w:eastAsia="Calibri" w:hAnsi="Calibri" w:cs="Arial"/>
          <w:noProof w:val="0"/>
          <w:rtl/>
        </w:rPr>
        <w:t>א, כי אלה מאפשרים להימנע מהרשעה</w:t>
      </w:r>
      <w:r w:rsidR="00BD3CB4">
        <w:rPr>
          <w:rFonts w:ascii="Calibri" w:eastAsia="Calibri" w:hAnsi="Calibri" w:cs="Arial" w:hint="cs"/>
          <w:noProof w:val="0"/>
          <w:rtl/>
        </w:rPr>
        <w:t>;</w:t>
      </w:r>
      <w:r w:rsidRPr="002203FA">
        <w:rPr>
          <w:rFonts w:ascii="Calibri" w:eastAsia="Calibri" w:hAnsi="Calibri" w:cs="Arial"/>
          <w:noProof w:val="0"/>
          <w:rtl/>
        </w:rPr>
        <w:t xml:space="preserve"> לאחר מכן, על ביהמ"ש להידרש לשאלה, האם עצם ההרשעה עלול לפגוע </w:t>
      </w:r>
      <w:r w:rsidRPr="002203FA">
        <w:rPr>
          <w:rFonts w:ascii="Miriam" w:eastAsia="Calibri" w:hAnsi="Miriam" w:cs="Miriam"/>
          <w:b/>
          <w:bCs/>
          <w:noProof w:val="0"/>
          <w:rtl/>
        </w:rPr>
        <w:t>"פגיעה חמורה בשיקומו או בעתידו של הנאשם"</w:t>
      </w:r>
      <w:r w:rsidRPr="002203FA">
        <w:rPr>
          <w:rFonts w:ascii="Calibri" w:eastAsia="Calibri" w:hAnsi="Calibri" w:cs="Arial"/>
          <w:noProof w:val="0"/>
          <w:rtl/>
        </w:rPr>
        <w:t xml:space="preserve"> (שם), שאינה שקולה לאינטרס הציבורי שבהרשעה, וזאת תוך בחינת הנזק שעלול להיגרם לנאשם. ונקבע, כי המדובר בנזק מוחשי–קונקרטי ולא באפשרות תיאורטית לפגיעה כלשהי בעתיד (ע"פ 2083/96 </w:t>
      </w:r>
      <w:r w:rsidRPr="002203FA">
        <w:rPr>
          <w:rFonts w:ascii="Calibri" w:eastAsia="Calibri" w:hAnsi="Calibri" w:cs="Arial"/>
          <w:b/>
          <w:bCs/>
          <w:noProof w:val="0"/>
          <w:rtl/>
        </w:rPr>
        <w:t>תמר כתב נ' מדינת ישראל</w:t>
      </w:r>
      <w:r w:rsidRPr="002203FA">
        <w:rPr>
          <w:rFonts w:ascii="Calibri" w:eastAsia="Calibri" w:hAnsi="Calibri" w:cs="Arial"/>
          <w:noProof w:val="0"/>
          <w:rtl/>
        </w:rPr>
        <w:t xml:space="preserve">, מיום 21.08.97; רע"פ 1746/18 </w:t>
      </w:r>
      <w:r w:rsidRPr="002203FA">
        <w:rPr>
          <w:rFonts w:ascii="Calibri" w:eastAsia="Calibri" w:hAnsi="Calibri" w:cs="Arial"/>
          <w:b/>
          <w:bCs/>
          <w:noProof w:val="0"/>
          <w:rtl/>
        </w:rPr>
        <w:t>אלחנן יהודה פליימר נ' מדינת ישראל</w:t>
      </w:r>
      <w:r w:rsidRPr="002203FA">
        <w:rPr>
          <w:rFonts w:ascii="Calibri" w:eastAsia="Calibri" w:hAnsi="Calibri" w:cs="Arial"/>
          <w:noProof w:val="0"/>
          <w:rtl/>
        </w:rPr>
        <w:t>, מיום 26.04.18 והאזכורים המובאים שם). ובעניינו, לא רק שלא מדובר במקרה חריג המצדיק אי הרשעה; אלא שגם ספק אם חומרת העבירה, נסיבותיה ומשכה יכולים להצדיק אי הרשעה; ובכל מקרה, ברור שלא צפוי למשיב, שהוא בעל עסק עצמאי לעבודות מתכת, כל נזק קונקרטי מעצם ההרשעה. אכן, שיקולי השיקום והמלצות שירות המבחן הם חלק משמעותי בין שיקולי הענישה, אולם לא</w:t>
      </w:r>
      <w:r w:rsidR="00BD3CB4">
        <w:rPr>
          <w:rFonts w:ascii="Calibri" w:eastAsia="Calibri" w:hAnsi="Calibri" w:cs="Arial" w:hint="cs"/>
          <w:noProof w:val="0"/>
          <w:rtl/>
        </w:rPr>
        <w:t xml:space="preserve"> מדובר בשיקול</w:t>
      </w:r>
      <w:r w:rsidRPr="002203FA">
        <w:rPr>
          <w:rFonts w:ascii="Calibri" w:eastAsia="Calibri" w:hAnsi="Calibri" w:cs="Arial"/>
          <w:noProof w:val="0"/>
          <w:rtl/>
        </w:rPr>
        <w:t xml:space="preserve"> יחידי, ועל בתי המשפט להתחשב גם בשיקולי גמול והלימה והרתעת הרבים, כאשר במקרה שבפנינו המלצות שירות המבחן אינן עולות בקנה אחד עם עיקרון ההלימה ועם הכללים שעניינם אי הרשעה.</w:t>
      </w:r>
    </w:p>
    <w:p w:rsidR="00653EF1" w:rsidRDefault="00653EF1" w:rsidP="002203FA">
      <w:pPr>
        <w:spacing w:after="160" w:line="360" w:lineRule="auto"/>
        <w:jc w:val="both"/>
        <w:rPr>
          <w:rFonts w:ascii="Calibri" w:eastAsia="Calibri" w:hAnsi="Calibri" w:cs="Arial"/>
          <w:noProof w:val="0"/>
          <w:rtl/>
        </w:rPr>
      </w:pPr>
    </w:p>
    <w:p w:rsidR="00653EF1" w:rsidRDefault="00653EF1" w:rsidP="002203FA">
      <w:pPr>
        <w:spacing w:after="160" w:line="360" w:lineRule="auto"/>
        <w:jc w:val="both"/>
        <w:rPr>
          <w:rFonts w:ascii="Calibri" w:eastAsia="Calibri" w:hAnsi="Calibri" w:cs="Arial"/>
          <w:noProof w:val="0"/>
          <w:rtl/>
        </w:rPr>
      </w:pPr>
    </w:p>
    <w:p w:rsidR="002203FA" w:rsidRPr="002203FA" w:rsidRDefault="002203FA" w:rsidP="002203FA">
      <w:pPr>
        <w:spacing w:after="160" w:line="360" w:lineRule="auto"/>
        <w:jc w:val="both"/>
        <w:rPr>
          <w:rFonts w:ascii="Calibri" w:eastAsia="Calibri" w:hAnsi="Calibri" w:cs="Arial"/>
          <w:noProof w:val="0"/>
          <w:rtl/>
        </w:rPr>
      </w:pPr>
      <w:r w:rsidRPr="002203FA">
        <w:rPr>
          <w:rFonts w:ascii="Calibri" w:eastAsia="Calibri" w:hAnsi="Calibri" w:cs="Arial"/>
          <w:noProof w:val="0"/>
          <w:rtl/>
        </w:rPr>
        <w:t>אשר לבקשת המערערת לדון את המשיב גם לתשלום קנס</w:t>
      </w:r>
      <w:r w:rsidR="00BB4B7E">
        <w:rPr>
          <w:rFonts w:ascii="Calibri" w:eastAsia="Calibri" w:hAnsi="Calibri" w:cs="Arial" w:hint="cs"/>
          <w:noProof w:val="0"/>
          <w:rtl/>
        </w:rPr>
        <w:t xml:space="preserve"> משמעותי</w:t>
      </w:r>
      <w:r w:rsidRPr="002203FA">
        <w:rPr>
          <w:rFonts w:ascii="Calibri" w:eastAsia="Calibri" w:hAnsi="Calibri" w:cs="Arial"/>
          <w:noProof w:val="0"/>
          <w:rtl/>
        </w:rPr>
        <w:t>, אין לנו אלא להפנות לסעיף החוק בו הורשע המשיב, הוא סעיף 12ב2 לחוק הכניסה לישראל, לס"ק (ג)(1) (ההדגשה אינה במקור – ר.י.כ.):</w:t>
      </w:r>
    </w:p>
    <w:p w:rsidR="002203FA" w:rsidRPr="002203FA" w:rsidRDefault="002203FA" w:rsidP="002203FA">
      <w:pPr>
        <w:spacing w:after="160"/>
        <w:ind w:left="720" w:right="567"/>
        <w:jc w:val="both"/>
        <w:rPr>
          <w:rFonts w:ascii="Miriam" w:eastAsia="Calibri" w:hAnsi="Miriam" w:cs="Miriam"/>
          <w:b/>
          <w:bCs/>
          <w:noProof w:val="0"/>
          <w:rtl/>
        </w:rPr>
      </w:pPr>
      <w:r w:rsidRPr="002203FA">
        <w:rPr>
          <w:rFonts w:ascii="Calibri" w:eastAsia="Calibri" w:hAnsi="Calibri" w:cs="Arial"/>
          <w:sz w:val="22"/>
          <w:szCs w:val="22"/>
          <w:rtl/>
        </w:rPr>
        <mc:AlternateContent>
          <mc:Choice Requires="wps">
            <w:drawing>
              <wp:anchor distT="0" distB="0" distL="114300" distR="114300" simplePos="0" relativeHeight="251659264" behindDoc="0" locked="1" layoutInCell="0" allowOverlap="1" wp14:anchorId="700B39E4" wp14:editId="61436CF6">
                <wp:simplePos x="0" y="0"/>
                <wp:positionH relativeFrom="column">
                  <wp:posOffset>6463030</wp:posOffset>
                </wp:positionH>
                <wp:positionV relativeFrom="paragraph">
                  <wp:posOffset>106680</wp:posOffset>
                </wp:positionV>
                <wp:extent cx="939165" cy="686435"/>
                <wp:effectExtent l="126365" t="0" r="139700" b="0"/>
                <wp:wrapNone/>
                <wp:docPr id="4" name="מלבן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153119" flipV="1">
                          <a:off x="0" y="0"/>
                          <a:ext cx="939165" cy="6864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2203FA" w:rsidRDefault="002203FA" w:rsidP="002203FA">
                            <w:pPr>
                              <w:spacing w:line="160" w:lineRule="exact"/>
                              <w:rPr>
                                <w:rFonts w:cs="Miriam"/>
                                <w:b/>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rect id="מלבן 1" style="position:absolute;left:0;text-align:left;margin-left:508.9pt;margin-top:8.4pt;width:73.95pt;height:54.05pt;rotation:-6720847fd;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stroked="f" strokecolor="lime" strokeweight=".25pt" w14:anchorId="700B39E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x2fAAMAAHcGAAAOAAAAZHJzL2Uyb0RvYy54bWysVc2O0zAQviPxDpbv2SRtmibVpqhNG4S0&#10;wEoL3N3EaSwSO9jupgviIbgjeKy+DmOn7baFA2LJIRo748/f/HyT6xfbpkb3VComeIL9Kw8jynNR&#10;ML5O8Pt3mRNhpDThBakFpwl+oAq/mD5/dt21EzoQlagLKhGAcDXp2gRXWrcT11V5RRuirkRLOXws&#10;hWyIhqVcu4UkHaA3tTvwvNDthCxaKXKqFOwu+o94avHLkub6bVkqqlGdYOCm7Vva98q83ek1mawl&#10;aSuW72mQf2DREMbh0iPUgmiCNpL9BtWwXAolSn2Vi8YVZclyamOAaHzvIpq7irTUxgLJUe0xTer/&#10;weZv7m8lYkWCA4w4aaBEux+777tvu5/IN9npWjUBp7v2Vpr4VHsj8o8KcZFWhK/pTErRVZQUwMn6&#10;u2cHzELBUbTqXosCwMlGC5uobSkbJAUUJPRHQ9+PMSpr1n4wMOYiSA3a2jo9HOtEtxrlsBkPYz8c&#10;YZTDpzAKg+HIMHXJxICaw61U+iUVDTJGgiW0gQUl9zdK964HF+PORcbq2rZCzc82ALPfobaX+tNk&#10;AkTANJ6Gkq3zl9iLl9EyCpxgEC6dwFssnFmWBk6Y+ePRYrhI04X/1bDwg0nFioJyc+mh5/zg72q6&#10;7/6+W45dp0TNCgNnKCm5XqW1RPcEej6zzz49J27uOQ2bPYjlIiR/EHjzQexkYTR2giwYOfHYixzP&#10;j+dx6AVxsMjOQ7phnD49JNQleAhZszU7IX0Rm+dlmWclDGU6c2uYhqlSsybBkWeeXuemT5e8sIXW&#10;hNW9fZIKQ//PqZhlI28cDCNnPB4NnWC49Jx5lKXOLPXDcLycp/PlRXWXtmPU07Nha3LSfid893c8&#10;UoZEHHrTCtFor9ew3q62ELgR5EoUDyBJKz6YiTC9QSOVkJ8x6mASJlh92hBJMapfcZC1GZsHQx6M&#10;1cEgPIejCdYY9Waq+/G6aSVbV4Dc65mLGUi/ZFZ+jyyAulnAdLNB7CexGZ+na+v1+L+Y/gIAAP//&#10;AwBQSwMEFAAGAAgAAAAhAOfbLYjhAAAADAEAAA8AAABkcnMvZG93bnJldi54bWxMj01Lw0AQhu+C&#10;/2EZwUtoNzHR1phNEaGehGItlN622TEJZmdDdptGf73Tk97mZR7ej2I12U6MOPjWkYJkHoNAqpxp&#10;qVaw+1jPliB80GR05wgVfKOHVXl9VejcuDO947gNtWAT8rlW0ITQ51L6qkGr/dz1SPz7dIPVgeVQ&#10;SzPoM5vbTt7F8YO0uiVOaHSPLw1WX9uTVYBvm9fDGPkoTfbrTUa7EP20j0rd3kzPTyACTuEPhkt9&#10;rg4ldzq6ExkvOtZxulgwq2CWJiAuRJLd85ojX1m2BFkW8v+I8hcAAP//AwBQSwECLQAUAAYACAAA&#10;ACEAtoM4kv4AAADhAQAAEwAAAAAAAAAAAAAAAAAAAAAAW0NvbnRlbnRfVHlwZXNdLnhtbFBLAQIt&#10;ABQABgAIAAAAIQA4/SH/1gAAAJQBAAALAAAAAAAAAAAAAAAAAC8BAABfcmVscy8ucmVsc1BLAQIt&#10;ABQABgAIAAAAIQBgFx2fAAMAAHcGAAAOAAAAAAAAAAAAAAAAAC4CAABkcnMvZTJvRG9jLnhtbFBL&#10;AQItABQABgAIAAAAIQDn2y2I4QAAAAwBAAAPAAAAAAAAAAAAAAAAAFoFAABkcnMvZG93bnJldi54&#10;bWxQSwUGAAAAAAQABADzAAAAaAYAAAAA&#10;">
                <v:textbox inset="0,0,0,0">
                  <w:txbxContent>
                    <w:p w:rsidR="002203FA" w:rsidP="002203FA" w:rsidRDefault="002203FA">
                      <w:pPr>
                        <w:spacing w:line="160" w:lineRule="exact"/>
                        <w:rPr>
                          <w:rFonts w:cs="Miriam"/>
                          <w:b/>
                          <w:szCs w:val="18"/>
                        </w:rPr>
                      </w:pPr>
                    </w:p>
                  </w:txbxContent>
                </v:textbox>
                <w10:anchorlock/>
              </v:rect>
            </w:pict>
          </mc:Fallback>
        </mc:AlternateContent>
      </w:r>
      <w:r w:rsidRPr="002203FA">
        <w:rPr>
          <w:rFonts w:ascii="Miriam" w:eastAsia="Calibri" w:hAnsi="Miriam" w:cs="Miriam"/>
          <w:b/>
          <w:bCs/>
          <w:noProof w:val="0"/>
          <w:rtl/>
        </w:rPr>
        <w:t>"12ב2.</w:t>
      </w:r>
      <w:r w:rsidRPr="002203FA">
        <w:rPr>
          <w:rFonts w:ascii="Miriam" w:eastAsia="Calibri" w:hAnsi="Miriam" w:cs="Miriam"/>
          <w:b/>
          <w:bCs/>
          <w:noProof w:val="0"/>
          <w:rtl/>
        </w:rPr>
        <w:tab/>
        <w:t>(א)</w:t>
      </w:r>
      <w:r w:rsidRPr="002203FA">
        <w:rPr>
          <w:rFonts w:ascii="Miriam" w:eastAsia="Calibri" w:hAnsi="Miriam" w:cs="Miriam"/>
          <w:b/>
          <w:bCs/>
          <w:noProof w:val="0"/>
          <w:rtl/>
        </w:rPr>
        <w:tab/>
        <w:t>על אף האמור בכל חיקוק, אלה דינם מאסר שנתיים או הקנס הקבוע בסעיף 61(א)(3) לחוק העונשין:</w:t>
      </w:r>
    </w:p>
    <w:p w:rsidR="002203FA" w:rsidRPr="002203FA" w:rsidRDefault="002203FA" w:rsidP="002203FA">
      <w:pPr>
        <w:spacing w:after="160"/>
        <w:ind w:left="720" w:right="567"/>
        <w:jc w:val="both"/>
        <w:rPr>
          <w:rFonts w:ascii="Miriam" w:eastAsia="Calibri" w:hAnsi="Miriam" w:cs="Miriam"/>
          <w:b/>
          <w:bCs/>
          <w:noProof w:val="0"/>
          <w:rtl/>
        </w:rPr>
      </w:pPr>
      <w:r w:rsidRPr="002203FA">
        <w:rPr>
          <w:rFonts w:ascii="Miriam" w:eastAsia="Calibri" w:hAnsi="Miriam" w:cs="Miriam"/>
          <w:b/>
          <w:bCs/>
          <w:noProof w:val="0"/>
          <w:rtl/>
        </w:rPr>
        <w:t>(1)</w:t>
      </w:r>
      <w:r w:rsidRPr="002203FA">
        <w:rPr>
          <w:rFonts w:ascii="Miriam" w:eastAsia="Calibri" w:hAnsi="Miriam" w:cs="Miriam"/>
          <w:b/>
          <w:bCs/>
          <w:noProof w:val="0"/>
          <w:rtl/>
        </w:rPr>
        <w:tab/>
        <w:t>מי שמעמיד, בתמורה או שלא בתמורה, מקום לינה לרשותו של תושב זר שנכנס לישראל שלא כדין או שיושב בה שלא כדין, או מסייע בתמורה או שלא בתמורה, לתושב זר כאמור להשיג מקום לינה, והכול בין במישרין ובין בעקיפין, בין בעצמו ובין על ידי אחר המועסק על ידו או מטעמו...</w:t>
      </w:r>
    </w:p>
    <w:p w:rsidR="002203FA" w:rsidRPr="002203FA" w:rsidRDefault="002203FA" w:rsidP="002203FA">
      <w:pPr>
        <w:spacing w:after="160"/>
        <w:ind w:left="720" w:right="567"/>
        <w:jc w:val="both"/>
        <w:rPr>
          <w:rFonts w:ascii="Miriam" w:eastAsia="Calibri" w:hAnsi="Miriam" w:cs="Miriam"/>
          <w:b/>
          <w:bCs/>
          <w:noProof w:val="0"/>
          <w:rtl/>
        </w:rPr>
      </w:pPr>
      <w:r w:rsidRPr="002203FA">
        <w:rPr>
          <w:rFonts w:ascii="Miriam" w:eastAsia="Calibri" w:hAnsi="Miriam" w:cs="Miriam"/>
          <w:b/>
          <w:bCs/>
          <w:noProof w:val="0"/>
          <w:rtl/>
        </w:rPr>
        <w:tab/>
        <w:t>(ב)...</w:t>
      </w:r>
    </w:p>
    <w:p w:rsidR="002203FA" w:rsidRPr="002203FA" w:rsidRDefault="002203FA" w:rsidP="002203FA">
      <w:pPr>
        <w:spacing w:after="160"/>
        <w:ind w:left="720" w:right="567"/>
        <w:jc w:val="both"/>
        <w:rPr>
          <w:rFonts w:ascii="Calibri" w:eastAsia="Calibri" w:hAnsi="Calibri" w:cs="Arial"/>
          <w:noProof w:val="0"/>
          <w:rtl/>
        </w:rPr>
      </w:pPr>
      <w:r w:rsidRPr="002203FA">
        <w:rPr>
          <w:rFonts w:ascii="Miriam" w:eastAsia="Calibri" w:hAnsi="Miriam" w:cs="Miriam"/>
          <w:b/>
          <w:bCs/>
          <w:noProof w:val="0"/>
          <w:rtl/>
        </w:rPr>
        <w:tab/>
        <w:t>(ג)(1)</w:t>
      </w:r>
      <w:r w:rsidRPr="002203FA">
        <w:rPr>
          <w:rFonts w:ascii="Miriam" w:eastAsia="Calibri" w:hAnsi="Miriam" w:cs="Miriam"/>
          <w:b/>
          <w:bCs/>
          <w:noProof w:val="0"/>
          <w:rtl/>
        </w:rPr>
        <w:tab/>
      </w:r>
      <w:r w:rsidRPr="002203FA">
        <w:rPr>
          <w:rFonts w:ascii="Miriam" w:eastAsia="Calibri" w:hAnsi="Miriam" w:cs="Miriam"/>
          <w:b/>
          <w:bCs/>
          <w:noProof w:val="0"/>
          <w:u w:val="single"/>
          <w:rtl/>
        </w:rPr>
        <w:t>קנס המוטל לפי סעיף קטן (א) לא יפחת מ-5,000 שקלים חדשים, אלא אם כן החליט בית המשפט, מטעמים מיוחדים שיירשמו, להקל בעונש</w:t>
      </w:r>
      <w:r w:rsidRPr="002203FA">
        <w:rPr>
          <w:rFonts w:ascii="Miriam" w:eastAsia="Calibri" w:hAnsi="Miriam" w:cs="Miriam"/>
          <w:b/>
          <w:bCs/>
          <w:noProof w:val="0"/>
          <w:rtl/>
        </w:rPr>
        <w:t>".</w:t>
      </w:r>
    </w:p>
    <w:p w:rsidR="002203FA" w:rsidRPr="002203FA" w:rsidRDefault="002203FA" w:rsidP="002203FA">
      <w:pPr>
        <w:spacing w:after="160" w:line="360" w:lineRule="auto"/>
        <w:jc w:val="both"/>
        <w:rPr>
          <w:rFonts w:ascii="Calibri" w:eastAsia="Calibri" w:hAnsi="Calibri" w:cs="Arial"/>
          <w:noProof w:val="0"/>
          <w:rtl/>
        </w:rPr>
      </w:pPr>
    </w:p>
    <w:p w:rsidR="002203FA" w:rsidRPr="002203FA" w:rsidRDefault="002203FA" w:rsidP="00653EF1">
      <w:pPr>
        <w:spacing w:after="160" w:line="360" w:lineRule="auto"/>
        <w:jc w:val="both"/>
        <w:rPr>
          <w:rFonts w:ascii="Calibri" w:eastAsia="Calibri" w:hAnsi="Calibri" w:cs="Arial"/>
          <w:noProof w:val="0"/>
          <w:rtl/>
        </w:rPr>
      </w:pPr>
      <w:r w:rsidRPr="002203FA">
        <w:rPr>
          <w:rFonts w:ascii="Calibri" w:eastAsia="Calibri" w:hAnsi="Calibri" w:cs="Arial"/>
          <w:noProof w:val="0"/>
          <w:rtl/>
        </w:rPr>
        <w:t>וכן, מצאנו לנכון להפנות גם לסעיף החיקוק אשר היה צריך להיות מיוחס למשיב, שחומרתו רבה מסעיף החיקוק שיוחס לו בפועל, נוכח התקופה הארוכה בה הלין את</w:t>
      </w:r>
      <w:r w:rsidR="00653EF1">
        <w:rPr>
          <w:rFonts w:ascii="Calibri" w:eastAsia="Calibri" w:hAnsi="Calibri" w:cs="Arial" w:hint="cs"/>
          <w:noProof w:val="0"/>
          <w:rtl/>
        </w:rPr>
        <w:t xml:space="preserve"> תושבת השטחים</w:t>
      </w:r>
      <w:r w:rsidRPr="002203FA">
        <w:rPr>
          <w:rFonts w:ascii="Calibri" w:eastAsia="Calibri" w:hAnsi="Calibri" w:cs="Arial"/>
          <w:noProof w:val="0"/>
          <w:rtl/>
        </w:rPr>
        <w:t>, והוא סעיף 12ב3 לחוק הכניסה לישראל. אגב, לא ניתן לנו הסבר מדוע המדינה בחרה לייחס למשיב את סעיף האישום הקל מבין השניים (שוב, ההדגשה אינה במקור – ר.י.כ.):</w:t>
      </w:r>
    </w:p>
    <w:p w:rsidR="002203FA" w:rsidRPr="002203FA" w:rsidRDefault="002203FA" w:rsidP="002203FA">
      <w:pPr>
        <w:spacing w:after="160"/>
        <w:ind w:left="720" w:right="567"/>
        <w:jc w:val="both"/>
        <w:rPr>
          <w:rFonts w:ascii="Miriam" w:eastAsia="Calibri" w:hAnsi="Miriam" w:cs="Miriam"/>
          <w:b/>
          <w:bCs/>
          <w:noProof w:val="0"/>
          <w:rtl/>
        </w:rPr>
      </w:pPr>
      <w:r w:rsidRPr="002203FA">
        <w:rPr>
          <w:rFonts w:ascii="Miriam" w:eastAsia="Calibri" w:hAnsi="Miriam" w:cs="Miriam"/>
          <w:b/>
          <w:bCs/>
          <w:noProof w:val="0"/>
          <w:rtl/>
        </w:rPr>
        <w:t>"</w:t>
      </w:r>
      <w:r w:rsidRPr="002203FA">
        <w:rPr>
          <w:rFonts w:ascii="Calibri" w:eastAsia="Calibri" w:hAnsi="Calibri" w:cs="Arial"/>
          <w:sz w:val="22"/>
          <w:szCs w:val="22"/>
          <w:rtl/>
        </w:rPr>
        <mc:AlternateContent>
          <mc:Choice Requires="wps">
            <w:drawing>
              <wp:anchor distT="0" distB="0" distL="114300" distR="114300" simplePos="0" relativeHeight="251660288" behindDoc="0" locked="1" layoutInCell="0" allowOverlap="1" wp14:anchorId="79B8C07C" wp14:editId="402FD881">
                <wp:simplePos x="0" y="0"/>
                <wp:positionH relativeFrom="column">
                  <wp:posOffset>6848475</wp:posOffset>
                </wp:positionH>
                <wp:positionV relativeFrom="paragraph">
                  <wp:posOffset>103505</wp:posOffset>
                </wp:positionV>
                <wp:extent cx="221615" cy="469900"/>
                <wp:effectExtent l="0" t="0" r="6985" b="6350"/>
                <wp:wrapNone/>
                <wp:docPr id="3" name="מלבן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21615" cy="469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2203FA" w:rsidRDefault="002203FA" w:rsidP="002203FA">
                            <w:pPr>
                              <w:spacing w:line="160" w:lineRule="exact"/>
                              <w:rPr>
                                <w:rFonts w:cs="Miriam"/>
                                <w:b/>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rect id="מלבן 2" style="position:absolute;left:0;text-align:left;margin-left:539.25pt;margin-top:8.15pt;width:17.45pt;height:37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o:allowincell="f" filled="f" stroked="f" strokecolor="lime" strokeweight=".25pt" w14:anchorId="79B8C0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Mxf9wIAAHAGAAAOAAAAZHJzL2Uyb0RvYy54bWysVc2O0zAQviPxDpbv2SRtmjbVpqhNG0Ba&#10;YKWFB3ATp7FI7GC7TRfEQ3BH8Fh9HcZO/+GAWHKIxvZ48s18801uX2zrCm2oVEzwGPs3HkaUZyJn&#10;fBXjD+9TZ4SR0oTnpBKcxviRKvxi8vzZbduMaU+UosqpRBCEq3HbxLjUuhm7rspKWhN1IxrK4bAQ&#10;siYalnLl5pK0EL2u3J7nhW4rZN5IkVGlYHfeHeKJjV8UNNPvikJRjaoYAzZt39K+l+btTm7JeCVJ&#10;U7JsD4P8A4qaMA4fPYaaE03QWrLfQtUsk0KJQt9konZFUbCM2hwgG9+7yuahJA21uUBxVHMsk/p/&#10;YbO3m3uJWB7jPkac1EDR7sfu++7b7ifqmeq0jRqD00NzL01+qrkT2UeFuEhKwld0KqVoS0pywOQb&#10;f/figlkouIqW7RuRQ3Cy1sIWalvIGhUVa16ZiyY0FANtLTOPR2boVqMMNns9P/QHGGVwFIRR5Fnm&#10;XDI2YczlRir9kooaGSPGEoi3QcnmTmkD6+Ri3LlIWVVZ8it+sQGO3Q613dPdJmMAAqbxNJAss18i&#10;L1qMFqPACXrhwgm8+dyZpknghKk/HMz78ySZ+18NCj8YlyzPKTcfPXSZH/wdi/t+7/rj2GdKVCw3&#10;4QwkJVfLpJJoQ6DLU/tYKuDk5OZewrAlgVyuUvJ7gTfrRU4ajoZOkAYDJxp6I8fzo1kUekEUzNPL&#10;lO4Yp09PCbXQgFA1y9kZ6KvcPC9Nj9RfuNVMwxypWB3jkWeeTtmmMxc8t0RrwqrOPiuFgf/nUkzT&#10;gTcM+iNnOBz0naC/8JzZKE2caeKH4XAxS2aLK3YXtmPU06thOTlrvzO8+2+cIEO/HnrTSs+orVOt&#10;3i63VtlWl0aJS5E/ghalAIXAMISxDUYp5GeMWhiBMVaf1kRSjKrXHPRs5uXBkAdjeTAIz+BqjDVG&#10;nZnobq6uG8lWJUTuZM3FFDRfMKvCEwrIwCxgrNlc9iPYzM3ztfU6/SgmvwAAAP//AwBQSwMEFAAG&#10;AAgAAAAhAJrRCDbgAAAACwEAAA8AAABkcnMvZG93bnJldi54bWxMj8FOwzAMhu9IvENkJG4sKe3W&#10;rms6TUggwWESgwPHrPGaiiaumnQrb092gpt/+dPvz9V2tj074+g7chKShQCGriHduVbC58fzQwHM&#10;B+W06smhhB/0sK1vbypVarq4dzwfQstiifOlkmBCGErOfWPQKr+gAV3cnWi0KsQ4tlyP6hLLbc8f&#10;hVhxqzoXLxg14JPB5vswWQn6641SQ0We5XRa7qeX5DXb9VLe3827DbCAc/iD4aof1aGOTkeanPas&#10;j1nkxTKycVqlwK5EkqQZsKOEtUiB1xX//0P9CwAA//8DAFBLAQItABQABgAIAAAAIQC2gziS/gAA&#10;AOEBAAATAAAAAAAAAAAAAAAAAAAAAABbQ29udGVudF9UeXBlc10ueG1sUEsBAi0AFAAGAAgAAAAh&#10;ADj9If/WAAAAlAEAAAsAAAAAAAAAAAAAAAAALwEAAF9yZWxzLy5yZWxzUEsBAi0AFAAGAAgAAAAh&#10;ABV8zF/3AgAAcAYAAA4AAAAAAAAAAAAAAAAALgIAAGRycy9lMm9Eb2MueG1sUEsBAi0AFAAGAAgA&#10;AAAhAJrRCDbgAAAACwEAAA8AAAAAAAAAAAAAAAAAUQUAAGRycy9kb3ducmV2LnhtbFBLBQYAAAAA&#10;BAAEAPMAAABeBgAAAAA=&#10;">
                <v:textbox inset="0,0,0,0">
                  <w:txbxContent>
                    <w:p w:rsidR="002203FA" w:rsidP="002203FA" w:rsidRDefault="002203FA">
                      <w:pPr>
                        <w:spacing w:line="160" w:lineRule="exact"/>
                        <w:rPr>
                          <w:rFonts w:cs="Miriam"/>
                          <w:b/>
                          <w:szCs w:val="18"/>
                        </w:rPr>
                      </w:pPr>
                    </w:p>
                  </w:txbxContent>
                </v:textbox>
                <w10:anchorlock/>
              </v:rect>
            </w:pict>
          </mc:Fallback>
        </mc:AlternateContent>
      </w:r>
      <w:r w:rsidRPr="002203FA">
        <w:rPr>
          <w:rFonts w:ascii="Miriam" w:eastAsia="Calibri" w:hAnsi="Miriam" w:cs="Miriam"/>
          <w:b/>
          <w:bCs/>
          <w:noProof w:val="0"/>
          <w:rtl/>
        </w:rPr>
        <w:t>12ב3.</w:t>
      </w:r>
      <w:r w:rsidRPr="002203FA">
        <w:rPr>
          <w:rFonts w:ascii="Miriam" w:eastAsia="Calibri" w:hAnsi="Miriam" w:cs="Miriam"/>
          <w:b/>
          <w:bCs/>
          <w:noProof w:val="0"/>
          <w:rtl/>
        </w:rPr>
        <w:tab/>
        <w:t>(א)</w:t>
      </w:r>
      <w:r w:rsidRPr="002203FA">
        <w:rPr>
          <w:rFonts w:ascii="Miriam" w:eastAsia="Calibri" w:hAnsi="Miriam" w:cs="Miriam"/>
          <w:b/>
          <w:bCs/>
          <w:noProof w:val="0"/>
          <w:rtl/>
        </w:rPr>
        <w:tab/>
        <w:t>נעברה עבירה לפי סעיף 12ב2(א) באחת מהנסיבות המנויות להלן, דינו של עובר העבירה – מאסר ארבע שנים או הקנס הקבוע בסעיף 61(א)(4) לחוק העונשין:</w:t>
      </w:r>
    </w:p>
    <w:p w:rsidR="002203FA" w:rsidRPr="002203FA" w:rsidRDefault="002203FA" w:rsidP="002203FA">
      <w:pPr>
        <w:spacing w:after="160"/>
        <w:ind w:left="720" w:right="567"/>
        <w:jc w:val="both"/>
        <w:rPr>
          <w:rFonts w:ascii="Miriam" w:eastAsia="Calibri" w:hAnsi="Miriam" w:cs="Miriam"/>
          <w:b/>
          <w:bCs/>
          <w:noProof w:val="0"/>
          <w:rtl/>
        </w:rPr>
      </w:pPr>
      <w:r w:rsidRPr="002203FA">
        <w:rPr>
          <w:rFonts w:ascii="Miriam" w:eastAsia="Calibri" w:hAnsi="Miriam" w:cs="Miriam"/>
          <w:b/>
          <w:bCs/>
          <w:noProof w:val="0"/>
          <w:rtl/>
        </w:rPr>
        <w:t xml:space="preserve"> (2)</w:t>
      </w:r>
      <w:r w:rsidRPr="002203FA">
        <w:rPr>
          <w:rFonts w:ascii="Miriam" w:eastAsia="Calibri" w:hAnsi="Miriam" w:cs="Miriam"/>
          <w:b/>
          <w:bCs/>
          <w:noProof w:val="0"/>
          <w:rtl/>
        </w:rPr>
        <w:tab/>
        <w:t>הלנה או העסקה של תושב זר כאמור בסעיף 12ב2(א), למשך יומיים רצופים או יותר...</w:t>
      </w:r>
    </w:p>
    <w:p w:rsidR="002203FA" w:rsidRPr="002203FA" w:rsidRDefault="002203FA" w:rsidP="002203FA">
      <w:pPr>
        <w:spacing w:after="160"/>
        <w:ind w:left="720" w:right="567"/>
        <w:jc w:val="both"/>
        <w:rPr>
          <w:rFonts w:ascii="Miriam" w:eastAsia="Calibri" w:hAnsi="Miriam" w:cs="Miriam"/>
          <w:b/>
          <w:bCs/>
          <w:noProof w:val="0"/>
          <w:rtl/>
        </w:rPr>
      </w:pPr>
      <w:r w:rsidRPr="002203FA">
        <w:rPr>
          <w:rFonts w:ascii="Miriam" w:eastAsia="Calibri" w:hAnsi="Miriam" w:cs="Miriam"/>
          <w:b/>
          <w:bCs/>
          <w:noProof w:val="0"/>
          <w:rtl/>
        </w:rPr>
        <w:tab/>
        <w:t>(ב)...</w:t>
      </w:r>
    </w:p>
    <w:p w:rsidR="002203FA" w:rsidRPr="002203FA" w:rsidRDefault="002203FA" w:rsidP="002203FA">
      <w:pPr>
        <w:spacing w:after="160"/>
        <w:ind w:left="720" w:right="567"/>
        <w:jc w:val="both"/>
        <w:rPr>
          <w:rFonts w:ascii="Calibri" w:eastAsia="Calibri" w:hAnsi="Calibri" w:cs="Arial"/>
          <w:noProof w:val="0"/>
          <w:rtl/>
        </w:rPr>
      </w:pPr>
      <w:r w:rsidRPr="002203FA">
        <w:rPr>
          <w:rFonts w:ascii="Miriam" w:eastAsia="Calibri" w:hAnsi="Miriam" w:cs="Miriam"/>
          <w:b/>
          <w:bCs/>
          <w:noProof w:val="0"/>
          <w:rtl/>
        </w:rPr>
        <w:tab/>
        <w:t>(ג)(1)</w:t>
      </w:r>
      <w:r w:rsidRPr="002203FA">
        <w:rPr>
          <w:rFonts w:ascii="Miriam" w:eastAsia="Calibri" w:hAnsi="Miriam" w:cs="Miriam"/>
          <w:b/>
          <w:bCs/>
          <w:noProof w:val="0"/>
          <w:rtl/>
        </w:rPr>
        <w:tab/>
      </w:r>
      <w:r w:rsidRPr="002203FA">
        <w:rPr>
          <w:rFonts w:ascii="Miriam" w:eastAsia="Calibri" w:hAnsi="Miriam" w:cs="Miriam"/>
          <w:b/>
          <w:bCs/>
          <w:noProof w:val="0"/>
          <w:u w:val="single"/>
          <w:rtl/>
        </w:rPr>
        <w:t>קנס המוטל לפי סעיף קטן (א) לא יפחת מ-10,000 שקלים חדשים, אלא אם כן החליט בית המשפט, מטעמים מיוחדים שיירשמו, להקל בעונש..</w:t>
      </w:r>
      <w:r w:rsidRPr="002203FA">
        <w:rPr>
          <w:rFonts w:ascii="Miriam" w:eastAsia="Calibri" w:hAnsi="Miriam" w:cs="Miriam"/>
          <w:b/>
          <w:bCs/>
          <w:noProof w:val="0"/>
          <w:rtl/>
        </w:rPr>
        <w:t>."</w:t>
      </w:r>
    </w:p>
    <w:p w:rsidR="002203FA" w:rsidRPr="002203FA" w:rsidRDefault="002203FA" w:rsidP="002203FA">
      <w:pPr>
        <w:spacing w:after="160" w:line="360" w:lineRule="auto"/>
        <w:jc w:val="both"/>
        <w:rPr>
          <w:rFonts w:ascii="Calibri" w:eastAsia="Calibri" w:hAnsi="Calibri" w:cs="Arial"/>
          <w:noProof w:val="0"/>
          <w:rtl/>
        </w:rPr>
      </w:pPr>
    </w:p>
    <w:p w:rsidR="002203FA" w:rsidRPr="002203FA" w:rsidRDefault="002203FA" w:rsidP="00653EF1">
      <w:pPr>
        <w:spacing w:after="160" w:line="360" w:lineRule="auto"/>
        <w:jc w:val="both"/>
        <w:rPr>
          <w:rFonts w:ascii="Calibri" w:eastAsia="Calibri" w:hAnsi="Calibri" w:cs="Arial"/>
          <w:noProof w:val="0"/>
          <w:rtl/>
        </w:rPr>
      </w:pPr>
      <w:r w:rsidRPr="002203FA">
        <w:rPr>
          <w:rFonts w:ascii="Calibri" w:eastAsia="Calibri" w:hAnsi="Calibri" w:cs="Arial"/>
          <w:noProof w:val="0"/>
          <w:rtl/>
        </w:rPr>
        <w:t>רוצה לומר, כי המחוקק מצא לנכון להטיל בעבירות אלה עונש מינימום של קנס, אשר רק בנסיבות מיוחדות, ו</w:t>
      </w:r>
      <w:r w:rsidR="00653EF1">
        <w:rPr>
          <w:rFonts w:ascii="Calibri" w:eastAsia="Calibri" w:hAnsi="Calibri" w:cs="Arial" w:hint="cs"/>
          <w:noProof w:val="0"/>
          <w:rtl/>
        </w:rPr>
        <w:t>"</w:t>
      </w:r>
      <w:r w:rsidRPr="002203FA">
        <w:rPr>
          <w:rFonts w:ascii="Calibri" w:eastAsia="Calibri" w:hAnsi="Calibri" w:cs="Arial"/>
          <w:noProof w:val="0"/>
          <w:rtl/>
        </w:rPr>
        <w:t>מטעמים מיוחדים שיירשמו</w:t>
      </w:r>
      <w:r w:rsidR="00653EF1">
        <w:rPr>
          <w:rFonts w:ascii="Calibri" w:eastAsia="Calibri" w:hAnsi="Calibri" w:cs="Arial" w:hint="cs"/>
          <w:noProof w:val="0"/>
          <w:rtl/>
        </w:rPr>
        <w:t>"</w:t>
      </w:r>
      <w:r w:rsidRPr="002203FA">
        <w:rPr>
          <w:rFonts w:ascii="Calibri" w:eastAsia="Calibri" w:hAnsi="Calibri" w:cs="Arial"/>
          <w:noProof w:val="0"/>
          <w:rtl/>
        </w:rPr>
        <w:t xml:space="preserve">, ניתן לסטות ממנו. בין היתר ניתן ללמוד מדברים אלה, כי אף המחוקק סבר, שבעבירות אלה לא ראוי שלא להרשיע את הנאשמים, שכן בהיעדר הרשעה לא ניתן להטיל </w:t>
      </w:r>
      <w:r w:rsidR="00653EF1">
        <w:rPr>
          <w:rFonts w:ascii="Calibri" w:eastAsia="Calibri" w:hAnsi="Calibri" w:cs="Arial" w:hint="cs"/>
          <w:noProof w:val="0"/>
          <w:rtl/>
        </w:rPr>
        <w:t xml:space="preserve">על הנאשם </w:t>
      </w:r>
      <w:r w:rsidRPr="002203FA">
        <w:rPr>
          <w:rFonts w:ascii="Calibri" w:eastAsia="Calibri" w:hAnsi="Calibri" w:cs="Arial"/>
          <w:noProof w:val="0"/>
          <w:rtl/>
        </w:rPr>
        <w:t>קנס.</w:t>
      </w:r>
    </w:p>
    <w:p w:rsidR="00FD7E0F" w:rsidRDefault="00FD7E0F" w:rsidP="002203FA">
      <w:pPr>
        <w:spacing w:after="160" w:line="360" w:lineRule="auto"/>
        <w:jc w:val="both"/>
        <w:rPr>
          <w:rFonts w:ascii="Calibri" w:eastAsia="Calibri" w:hAnsi="Calibri" w:cs="Arial"/>
          <w:noProof w:val="0"/>
          <w:rtl/>
        </w:rPr>
      </w:pPr>
    </w:p>
    <w:p w:rsidR="002203FA" w:rsidRPr="002203FA" w:rsidRDefault="002203FA" w:rsidP="0019655B">
      <w:pPr>
        <w:spacing w:after="160" w:line="360" w:lineRule="auto"/>
        <w:jc w:val="both"/>
        <w:rPr>
          <w:rFonts w:ascii="Calibri" w:eastAsia="Calibri" w:hAnsi="Calibri" w:cs="Arial"/>
          <w:noProof w:val="0"/>
          <w:rtl/>
        </w:rPr>
      </w:pPr>
      <w:r w:rsidRPr="002203FA">
        <w:rPr>
          <w:rFonts w:ascii="Calibri" w:eastAsia="Calibri" w:hAnsi="Calibri" w:cs="Arial"/>
          <w:noProof w:val="0"/>
          <w:rtl/>
        </w:rPr>
        <w:t xml:space="preserve">יתרה מכך, בענייננו לא נמצאו כל טענות המצדיקות סטייה מעונש מינימום זה, בוודאי שלא מטעמים של חוסר יכולת כלכלית, שכן המשיב העיד על עצמו, כי הוא בעל עסק מצליח, אשר דואג ומפרנס את </w:t>
      </w:r>
      <w:r w:rsidR="00653EF1">
        <w:rPr>
          <w:rFonts w:ascii="Calibri" w:eastAsia="Calibri" w:hAnsi="Calibri" w:cs="Arial" w:hint="cs"/>
          <w:noProof w:val="0"/>
          <w:rtl/>
        </w:rPr>
        <w:t>אשתו ו</w:t>
      </w:r>
      <w:r w:rsidRPr="002203FA">
        <w:rPr>
          <w:rFonts w:ascii="Calibri" w:eastAsia="Calibri" w:hAnsi="Calibri" w:cs="Arial"/>
          <w:noProof w:val="0"/>
          <w:rtl/>
        </w:rPr>
        <w:t xml:space="preserve">גרושותיו ו-21 ילדיו, כולל מימון לימודיהם בירדן; ובאת כוחו אפילו טענה, כי המשיב </w:t>
      </w:r>
      <w:r w:rsidRPr="002203FA">
        <w:rPr>
          <w:rFonts w:ascii="Miriam" w:eastAsia="Calibri" w:hAnsi="Miriam" w:cs="Miriam"/>
          <w:b/>
          <w:bCs/>
          <w:noProof w:val="0"/>
          <w:rtl/>
        </w:rPr>
        <w:t>"יסכים לשלם קנס כספי ואפילו משמעותי ובלבד והחופש שלו לא יפגע"</w:t>
      </w:r>
      <w:r w:rsidRPr="002203FA">
        <w:rPr>
          <w:rFonts w:ascii="Calibri" w:eastAsia="Calibri" w:hAnsi="Calibri" w:cs="Arial"/>
          <w:noProof w:val="0"/>
          <w:rtl/>
        </w:rPr>
        <w:t xml:space="preserve">. בנסיבות אלה, לא היה מקום לסטות לקולא מעונש המינימום, ורק מן הטעם שערכאת הערעור אינה ממצה את מלוא חומרת הדין, כאשר לא ניתן לסבור שהעבירה במקרה שבפנינו בוצעה על רקע של רווח כלכלי (כמו במקרים אחרים של הלנה והעסקה), נסתפק בקנס </w:t>
      </w:r>
      <w:r w:rsidR="0019655B">
        <w:rPr>
          <w:rFonts w:ascii="Calibri" w:eastAsia="Calibri" w:hAnsi="Calibri" w:cs="Arial" w:hint="cs"/>
          <w:noProof w:val="0"/>
          <w:rtl/>
        </w:rPr>
        <w:t>המינימום</w:t>
      </w:r>
      <w:r w:rsidRPr="002203FA">
        <w:rPr>
          <w:rFonts w:ascii="Calibri" w:eastAsia="Calibri" w:hAnsi="Calibri" w:cs="Arial"/>
          <w:noProof w:val="0"/>
          <w:rtl/>
        </w:rPr>
        <w:t xml:space="preserve"> שנקבע בחוק.</w:t>
      </w:r>
    </w:p>
    <w:p w:rsidR="00FD7E0F" w:rsidRDefault="00FD7E0F" w:rsidP="002203FA">
      <w:pPr>
        <w:spacing w:after="160" w:line="360" w:lineRule="auto"/>
        <w:jc w:val="both"/>
        <w:rPr>
          <w:rFonts w:ascii="Calibri" w:eastAsia="Calibri" w:hAnsi="Calibri" w:cs="Arial"/>
          <w:noProof w:val="0"/>
          <w:rtl/>
        </w:rPr>
      </w:pPr>
    </w:p>
    <w:p w:rsidR="002203FA" w:rsidRPr="002203FA" w:rsidRDefault="002203FA" w:rsidP="00676EBD">
      <w:pPr>
        <w:spacing w:after="160" w:line="360" w:lineRule="auto"/>
        <w:jc w:val="both"/>
        <w:rPr>
          <w:rFonts w:ascii="Calibri" w:eastAsia="Calibri" w:hAnsi="Calibri" w:cs="Arial"/>
          <w:noProof w:val="0"/>
          <w:rtl/>
        </w:rPr>
      </w:pPr>
      <w:r w:rsidRPr="002203FA">
        <w:rPr>
          <w:rFonts w:ascii="Calibri" w:eastAsia="Calibri" w:hAnsi="Calibri" w:cs="Arial"/>
          <w:noProof w:val="0"/>
          <w:rtl/>
        </w:rPr>
        <w:t>המערערת הוסיפה וביקשה לקבוע מתחם עונש ראוי למשיב, דבר שביהמ"ש נמנע מלעשות</w:t>
      </w:r>
      <w:r w:rsidR="00676EBD">
        <w:rPr>
          <w:rFonts w:ascii="Calibri" w:eastAsia="Calibri" w:hAnsi="Calibri" w:cs="Arial" w:hint="cs"/>
          <w:noProof w:val="0"/>
          <w:rtl/>
        </w:rPr>
        <w:t xml:space="preserve"> (ביהמ"ש ציין, </w:t>
      </w:r>
      <w:r w:rsidR="00653EF1">
        <w:rPr>
          <w:rFonts w:ascii="Calibri" w:eastAsia="Calibri" w:hAnsi="Calibri" w:cs="Arial" w:hint="cs"/>
          <w:noProof w:val="0"/>
          <w:rtl/>
        </w:rPr>
        <w:t xml:space="preserve">לאור פסיקה שבחן, </w:t>
      </w:r>
      <w:r w:rsidR="00676EBD">
        <w:rPr>
          <w:rFonts w:ascii="Calibri" w:eastAsia="Calibri" w:hAnsi="Calibri" w:cs="Arial" w:hint="cs"/>
          <w:noProof w:val="0"/>
          <w:rtl/>
        </w:rPr>
        <w:t xml:space="preserve">כי </w:t>
      </w:r>
      <w:r w:rsidR="00676EBD" w:rsidRPr="00676EBD">
        <w:rPr>
          <w:rFonts w:ascii="Miriam" w:eastAsia="Calibri" w:hAnsi="Miriam" w:cs="Miriam"/>
          <w:b/>
          <w:bCs/>
          <w:noProof w:val="0"/>
          <w:rtl/>
        </w:rPr>
        <w:t>"מנעד הענישה נע החל ממאסר על תנאי וכלה במאסר בפועל לתקופות קצרות, תוך התחשבות בנסיבותיו של כל מקרה ומקרה</w:t>
      </w:r>
      <w:r w:rsidR="00676EBD">
        <w:rPr>
          <w:rFonts w:ascii="Miriam" w:eastAsia="Calibri" w:hAnsi="Miriam" w:cs="Miriam" w:hint="cs"/>
          <w:b/>
          <w:bCs/>
          <w:noProof w:val="0"/>
          <w:rtl/>
        </w:rPr>
        <w:t>"</w:t>
      </w:r>
      <w:r w:rsidR="00676EBD">
        <w:rPr>
          <w:rFonts w:ascii="Calibri" w:eastAsia="Calibri" w:hAnsi="Calibri" w:cs="Arial" w:hint="cs"/>
          <w:noProof w:val="0"/>
          <w:rtl/>
        </w:rPr>
        <w:t>)</w:t>
      </w:r>
      <w:r w:rsidRPr="002203FA">
        <w:rPr>
          <w:rFonts w:ascii="Calibri" w:eastAsia="Calibri" w:hAnsi="Calibri" w:cs="Arial"/>
          <w:noProof w:val="0"/>
          <w:rtl/>
        </w:rPr>
        <w:t>, ומצאנו כי לאור האמור לעיל, המתחם שהוצע</w:t>
      </w:r>
      <w:r w:rsidR="00653EF1">
        <w:rPr>
          <w:rFonts w:ascii="Calibri" w:eastAsia="Calibri" w:hAnsi="Calibri" w:cs="Arial" w:hint="cs"/>
          <w:noProof w:val="0"/>
          <w:rtl/>
        </w:rPr>
        <w:t xml:space="preserve"> על ידי המערערת</w:t>
      </w:r>
      <w:r w:rsidRPr="002203FA">
        <w:rPr>
          <w:rFonts w:ascii="Calibri" w:eastAsia="Calibri" w:hAnsi="Calibri" w:cs="Arial"/>
          <w:noProof w:val="0"/>
          <w:rtl/>
        </w:rPr>
        <w:t xml:space="preserve"> ואשר נע בין 6 חודשי מאסר, שיכול וירוצו בדרך של עבודות שירות, ועד 14 חודשי מאסר, לצד ענישה נלווית – הוא מתחם ראוי.</w:t>
      </w:r>
    </w:p>
    <w:p w:rsidR="002203FA" w:rsidRPr="002203FA" w:rsidRDefault="002203FA" w:rsidP="002203FA">
      <w:pPr>
        <w:spacing w:after="160" w:line="360" w:lineRule="auto"/>
        <w:jc w:val="both"/>
        <w:rPr>
          <w:rFonts w:ascii="Calibri" w:eastAsia="Calibri" w:hAnsi="Calibri" w:cs="Arial"/>
          <w:b/>
          <w:bCs/>
          <w:noProof w:val="0"/>
          <w:u w:val="single"/>
          <w:rtl/>
        </w:rPr>
      </w:pPr>
    </w:p>
    <w:p w:rsidR="002203FA" w:rsidRPr="002203FA" w:rsidRDefault="002203FA" w:rsidP="002203FA">
      <w:pPr>
        <w:spacing w:after="160" w:line="360" w:lineRule="auto"/>
        <w:jc w:val="both"/>
        <w:rPr>
          <w:rFonts w:ascii="Arial" w:eastAsia="Calibri" w:hAnsi="Arial" w:cs="Arial"/>
          <w:b/>
          <w:bCs/>
          <w:noProof w:val="0"/>
          <w:u w:val="single"/>
          <w:rtl/>
        </w:rPr>
      </w:pPr>
      <w:r w:rsidRPr="002203FA">
        <w:rPr>
          <w:rFonts w:ascii="Arial" w:eastAsia="Calibri" w:hAnsi="Arial" w:cs="Arial"/>
          <w:b/>
          <w:bCs/>
          <w:noProof w:val="0"/>
          <w:u w:val="single"/>
          <w:rtl/>
        </w:rPr>
        <w:t>סוף דבר – הענישה הראויה</w:t>
      </w:r>
    </w:p>
    <w:p w:rsidR="002203FA" w:rsidRDefault="002203FA" w:rsidP="00653EF1">
      <w:pPr>
        <w:spacing w:after="160" w:line="360" w:lineRule="auto"/>
        <w:jc w:val="both"/>
        <w:rPr>
          <w:rFonts w:ascii="Calibri" w:eastAsia="Calibri" w:hAnsi="Calibri" w:cs="Arial"/>
          <w:noProof w:val="0"/>
          <w:rtl/>
        </w:rPr>
      </w:pPr>
      <w:r w:rsidRPr="002203FA">
        <w:rPr>
          <w:rFonts w:ascii="Calibri" w:eastAsia="Calibri" w:hAnsi="Calibri" w:cs="Arial"/>
          <w:noProof w:val="0"/>
          <w:rtl/>
        </w:rPr>
        <w:t>לאור כל האמור לעיל, אנו מקבלים את הערעור</w:t>
      </w:r>
      <w:r w:rsidR="00653EF1">
        <w:rPr>
          <w:rFonts w:ascii="Calibri" w:eastAsia="Calibri" w:hAnsi="Calibri" w:cs="Arial" w:hint="cs"/>
          <w:noProof w:val="0"/>
          <w:rtl/>
        </w:rPr>
        <w:t>;</w:t>
      </w:r>
      <w:r w:rsidRPr="002203FA">
        <w:rPr>
          <w:rFonts w:ascii="Calibri" w:eastAsia="Calibri" w:hAnsi="Calibri" w:cs="Arial"/>
          <w:noProof w:val="0"/>
          <w:rtl/>
        </w:rPr>
        <w:t xml:space="preserve"> מרשיעים את המשיב בביצוע העבירה של הלנה והעסקה שלא כדין בניגוד לסעיף 12ב2(א)(1) לחוק הכניסה לישראל</w:t>
      </w:r>
      <w:r w:rsidR="00653EF1">
        <w:rPr>
          <w:rFonts w:ascii="Calibri" w:eastAsia="Calibri" w:hAnsi="Calibri" w:cs="Arial" w:hint="cs"/>
          <w:noProof w:val="0"/>
          <w:rtl/>
        </w:rPr>
        <w:t>;</w:t>
      </w:r>
      <w:r w:rsidRPr="002203FA">
        <w:rPr>
          <w:rFonts w:ascii="Calibri" w:eastAsia="Calibri" w:hAnsi="Calibri" w:cs="Arial"/>
          <w:noProof w:val="0"/>
          <w:rtl/>
        </w:rPr>
        <w:t xml:space="preserve"> ודנים אותו לעונשים הבאים:</w:t>
      </w:r>
    </w:p>
    <w:p w:rsidR="00653EF1" w:rsidRPr="002203FA" w:rsidRDefault="00653EF1" w:rsidP="00653EF1">
      <w:pPr>
        <w:spacing w:after="160" w:line="360" w:lineRule="auto"/>
        <w:jc w:val="both"/>
        <w:rPr>
          <w:rFonts w:ascii="Calibri" w:eastAsia="Calibri" w:hAnsi="Calibri" w:cs="Arial"/>
          <w:noProof w:val="0"/>
          <w:rtl/>
        </w:rPr>
      </w:pPr>
    </w:p>
    <w:p w:rsidR="00653EF1" w:rsidRDefault="002203FA" w:rsidP="002203FA">
      <w:pPr>
        <w:numPr>
          <w:ilvl w:val="0"/>
          <w:numId w:val="1"/>
        </w:numPr>
        <w:spacing w:after="160" w:line="360" w:lineRule="auto"/>
        <w:contextualSpacing/>
        <w:jc w:val="both"/>
        <w:rPr>
          <w:rFonts w:ascii="Calibri" w:eastAsia="Calibri" w:hAnsi="Calibri" w:cs="Arial"/>
          <w:noProof w:val="0"/>
        </w:rPr>
      </w:pPr>
      <w:r w:rsidRPr="002203FA">
        <w:rPr>
          <w:rFonts w:ascii="Calibri" w:eastAsia="Calibri" w:hAnsi="Calibri" w:cs="Arial"/>
          <w:noProof w:val="0"/>
          <w:rtl/>
        </w:rPr>
        <w:t xml:space="preserve">מאסר בפועל למשך 6 חודשים אשר ירוצה בדרך של עבודות שירות בהתאם לחוות הדעת של הממונה על עבודות השירות שהוגשה לתיק ביהמ"ש קמא. </w:t>
      </w:r>
    </w:p>
    <w:p w:rsidR="002203FA" w:rsidRDefault="002203FA" w:rsidP="001546C5">
      <w:pPr>
        <w:spacing w:after="160" w:line="360" w:lineRule="auto"/>
        <w:ind w:left="720"/>
        <w:contextualSpacing/>
        <w:jc w:val="both"/>
        <w:rPr>
          <w:rFonts w:ascii="Calibri" w:eastAsia="Calibri" w:hAnsi="Calibri" w:cs="Arial"/>
          <w:noProof w:val="0"/>
        </w:rPr>
      </w:pPr>
      <w:r w:rsidRPr="002203FA">
        <w:rPr>
          <w:rFonts w:ascii="Calibri" w:eastAsia="Calibri" w:hAnsi="Calibri" w:cs="Arial"/>
          <w:noProof w:val="0"/>
          <w:rtl/>
        </w:rPr>
        <w:t>המשיב יתייצב לתחילת ריצוי עונשו בתאריך</w:t>
      </w:r>
      <w:r w:rsidR="001546C5">
        <w:rPr>
          <w:rFonts w:ascii="Calibri" w:eastAsia="Calibri" w:hAnsi="Calibri" w:cs="Arial" w:hint="cs"/>
          <w:noProof w:val="0"/>
          <w:rtl/>
        </w:rPr>
        <w:t xml:space="preserve"> 24.09.23</w:t>
      </w:r>
      <w:r w:rsidRPr="002203FA">
        <w:rPr>
          <w:rFonts w:ascii="Calibri" w:eastAsia="Calibri" w:hAnsi="Calibri" w:cs="Arial"/>
          <w:noProof w:val="0"/>
          <w:rtl/>
        </w:rPr>
        <w:t xml:space="preserve"> עד השעה 08:00 אצל הממונה על עבודות השירות.</w:t>
      </w:r>
    </w:p>
    <w:p w:rsidR="00653EF1" w:rsidRDefault="00653EF1" w:rsidP="00653EF1">
      <w:pPr>
        <w:spacing w:after="160" w:line="360" w:lineRule="auto"/>
        <w:ind w:left="720"/>
        <w:contextualSpacing/>
        <w:jc w:val="both"/>
        <w:rPr>
          <w:rFonts w:ascii="Calibri" w:eastAsia="Calibri" w:hAnsi="Calibri" w:cs="Arial"/>
          <w:noProof w:val="0"/>
          <w:rtl/>
        </w:rPr>
      </w:pPr>
    </w:p>
    <w:p w:rsidR="00653EF1" w:rsidRDefault="00653EF1" w:rsidP="00653EF1">
      <w:pPr>
        <w:spacing w:after="160" w:line="360" w:lineRule="auto"/>
        <w:ind w:left="720"/>
        <w:contextualSpacing/>
        <w:jc w:val="both"/>
        <w:rPr>
          <w:rFonts w:ascii="Calibri" w:eastAsia="Calibri" w:hAnsi="Calibri" w:cs="Arial"/>
          <w:noProof w:val="0"/>
          <w:rtl/>
        </w:rPr>
      </w:pPr>
    </w:p>
    <w:p w:rsidR="00653EF1" w:rsidRPr="00653EF1" w:rsidRDefault="00653EF1" w:rsidP="00653EF1">
      <w:pPr>
        <w:spacing w:after="160" w:line="360" w:lineRule="auto"/>
        <w:ind w:left="720"/>
        <w:contextualSpacing/>
        <w:jc w:val="both"/>
        <w:rPr>
          <w:rFonts w:ascii="Calibri" w:eastAsia="Calibri" w:hAnsi="Calibri" w:cs="Arial"/>
          <w:noProof w:val="0"/>
          <w:rtl/>
        </w:rPr>
      </w:pPr>
    </w:p>
    <w:p w:rsidR="002203FA" w:rsidRDefault="002203FA" w:rsidP="002203FA">
      <w:pPr>
        <w:numPr>
          <w:ilvl w:val="0"/>
          <w:numId w:val="1"/>
        </w:numPr>
        <w:spacing w:after="160" w:line="360" w:lineRule="auto"/>
        <w:contextualSpacing/>
        <w:jc w:val="both"/>
        <w:rPr>
          <w:rFonts w:ascii="Calibri" w:eastAsia="Calibri" w:hAnsi="Calibri" w:cs="Arial"/>
          <w:noProof w:val="0"/>
        </w:rPr>
      </w:pPr>
      <w:r w:rsidRPr="002203FA">
        <w:rPr>
          <w:rFonts w:ascii="Calibri" w:eastAsia="Calibri" w:hAnsi="Calibri" w:cs="Arial"/>
          <w:noProof w:val="0"/>
          <w:rtl/>
        </w:rPr>
        <w:t>מאסר על תנאי למשך 6 חודשים, והתנאי שהמשיב לא יעבור את העבירה בה הורשע תוך 3 שנים מהיום.</w:t>
      </w:r>
    </w:p>
    <w:p w:rsidR="00653EF1" w:rsidRPr="002203FA" w:rsidRDefault="00653EF1" w:rsidP="00653EF1">
      <w:pPr>
        <w:spacing w:after="160" w:line="360" w:lineRule="auto"/>
        <w:ind w:left="720"/>
        <w:contextualSpacing/>
        <w:jc w:val="both"/>
        <w:rPr>
          <w:rFonts w:ascii="Calibri" w:eastAsia="Calibri" w:hAnsi="Calibri" w:cs="Arial"/>
          <w:noProof w:val="0"/>
        </w:rPr>
      </w:pPr>
    </w:p>
    <w:p w:rsidR="002203FA" w:rsidRPr="002203FA" w:rsidRDefault="002203FA" w:rsidP="002203FA">
      <w:pPr>
        <w:numPr>
          <w:ilvl w:val="0"/>
          <w:numId w:val="1"/>
        </w:numPr>
        <w:spacing w:after="160" w:line="360" w:lineRule="auto"/>
        <w:contextualSpacing/>
        <w:jc w:val="both"/>
        <w:rPr>
          <w:rFonts w:ascii="Calibri" w:eastAsia="Calibri" w:hAnsi="Calibri" w:cs="Arial"/>
          <w:noProof w:val="0"/>
        </w:rPr>
      </w:pPr>
      <w:r w:rsidRPr="002203FA">
        <w:rPr>
          <w:rFonts w:ascii="Calibri" w:eastAsia="Calibri" w:hAnsi="Calibri" w:cs="Arial"/>
          <w:noProof w:val="0"/>
          <w:rtl/>
        </w:rPr>
        <w:t>קנס בשיעור 5,000 ₪ או 20 ימי מאסר תמורתו. הקנס ישולם עד ליום 01.11.23.</w:t>
      </w:r>
    </w:p>
    <w:p w:rsidR="002203FA" w:rsidRPr="002203FA" w:rsidRDefault="002203FA" w:rsidP="002203FA">
      <w:pPr>
        <w:spacing w:after="160" w:line="360" w:lineRule="auto"/>
        <w:jc w:val="both"/>
        <w:rPr>
          <w:rFonts w:ascii="Calibri" w:eastAsia="Calibri" w:hAnsi="Calibri" w:cs="Arial"/>
          <w:noProof w:val="0"/>
        </w:rPr>
      </w:pPr>
    </w:p>
    <w:p w:rsidR="00653EF1" w:rsidRDefault="00653EF1" w:rsidP="002203FA">
      <w:pPr>
        <w:spacing w:after="160" w:line="360" w:lineRule="auto"/>
        <w:jc w:val="both"/>
        <w:rPr>
          <w:rFonts w:ascii="Calibri" w:eastAsia="Calibri" w:hAnsi="Calibri" w:cs="Arial"/>
          <w:b/>
          <w:bCs/>
          <w:noProof w:val="0"/>
          <w:rtl/>
        </w:rPr>
      </w:pPr>
    </w:p>
    <w:p w:rsidR="002203FA" w:rsidRPr="00653EF1" w:rsidRDefault="002203FA" w:rsidP="002203FA">
      <w:pPr>
        <w:spacing w:after="160" w:line="360" w:lineRule="auto"/>
        <w:jc w:val="both"/>
        <w:rPr>
          <w:rFonts w:ascii="Calibri" w:eastAsia="Calibri" w:hAnsi="Calibri" w:cs="Arial"/>
          <w:b/>
          <w:bCs/>
          <w:noProof w:val="0"/>
          <w:rtl/>
        </w:rPr>
      </w:pPr>
      <w:r w:rsidRPr="00653EF1">
        <w:rPr>
          <w:rFonts w:ascii="Calibri" w:eastAsia="Calibri" w:hAnsi="Calibri" w:cs="Arial"/>
          <w:b/>
          <w:bCs/>
          <w:noProof w:val="0"/>
          <w:rtl/>
        </w:rPr>
        <w:t>המזכירות תשלח עותק מפס"ד זה אל הממונה על עבודות השירות.</w:t>
      </w:r>
    </w:p>
    <w:p w:rsidR="002203FA" w:rsidRPr="00DE1E7D" w:rsidRDefault="002203FA">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493153" w:rsidRDefault="0043502B" w:rsidP="001546C5">
      <w:pPr>
        <w:spacing w:line="360" w:lineRule="auto"/>
        <w:jc w:val="both"/>
        <w:rPr>
          <w:rFonts w:asciiTheme="minorBidi" w:hAnsiTheme="minorBidi" w:cstheme="minorBidi"/>
          <w:b/>
          <w:bCs/>
          <w:noProof w:val="0"/>
          <w:rtl/>
        </w:rPr>
      </w:pPr>
      <w:r w:rsidRPr="001546C5">
        <w:rPr>
          <w:rFonts w:asciiTheme="minorBidi" w:hAnsiTheme="minorBidi" w:cstheme="minorBidi"/>
          <w:b/>
          <w:bCs/>
          <w:noProof w:val="0"/>
          <w:rtl/>
        </w:rPr>
        <w:t>נית</w:t>
      </w:r>
      <w:r w:rsidR="000F7859" w:rsidRPr="001546C5">
        <w:rPr>
          <w:rFonts w:asciiTheme="minorBidi" w:hAnsiTheme="minorBidi" w:cstheme="minorBidi" w:hint="cs"/>
          <w:b/>
          <w:bCs/>
          <w:noProof w:val="0"/>
          <w:rtl/>
        </w:rPr>
        <w:t>ן</w:t>
      </w:r>
      <w:r w:rsidR="00005C8B" w:rsidRPr="001546C5">
        <w:rPr>
          <w:rFonts w:asciiTheme="minorBidi" w:hAnsiTheme="minorBidi" w:cstheme="minorBidi"/>
          <w:b/>
          <w:bCs/>
          <w:noProof w:val="0"/>
          <w:rtl/>
        </w:rPr>
        <w:t xml:space="preserve"> היום, </w:t>
      </w:r>
      <w:sdt>
        <w:sdtPr>
          <w:rPr>
            <w:rFonts w:asciiTheme="minorBidi" w:hAnsiTheme="minorBidi" w:cstheme="minorBidi"/>
            <w:b/>
            <w:bCs/>
            <w:rtl/>
          </w:rPr>
          <w:alias w:val="1455"/>
          <w:tag w:val="1455"/>
          <w:id w:val="1666048407"/>
          <w:text w:multiLine="1"/>
        </w:sdtPr>
        <w:sdtEndPr/>
        <w:sdtContent>
          <w:r>
            <w:rPr>
              <w:rFonts w:asciiTheme="minorBidi" w:hAnsiTheme="minorBidi" w:cstheme="minorBidi" w:hint="cs"/>
              <w:b/>
              <w:bCs/>
              <w:noProof w:val="0"/>
              <w:rtl/>
            </w:rPr>
            <w:t>ה' אלול תשפ"ג</w:t>
          </w:r>
        </w:sdtContent>
      </w:sdt>
      <w:r w:rsidR="00005C8B" w:rsidRPr="001546C5">
        <w:rPr>
          <w:rFonts w:asciiTheme="minorBidi" w:hAnsiTheme="minorBidi" w:cstheme="minorBidi"/>
          <w:b/>
          <w:bCs/>
          <w:noProof w:val="0"/>
          <w:rtl/>
        </w:rPr>
        <w:t xml:space="preserve">, </w:t>
      </w:r>
      <w:sdt>
        <w:sdtPr>
          <w:rPr>
            <w:rFonts w:asciiTheme="minorBidi" w:hAnsiTheme="minorBidi" w:cstheme="minorBidi"/>
            <w:b/>
            <w:bCs/>
            <w:rtl/>
          </w:rPr>
          <w:alias w:val="1456"/>
          <w:tag w:val="1456"/>
          <w:id w:val="-1186288958"/>
          <w:text w:multiLine="1"/>
        </w:sdtPr>
        <w:sdtEndPr/>
        <w:sdtContent>
          <w:r>
            <w:rPr>
              <w:rFonts w:asciiTheme="minorBidi" w:hAnsiTheme="minorBidi" w:cstheme="minorBidi" w:hint="cs"/>
              <w:b/>
              <w:bCs/>
              <w:noProof w:val="0"/>
              <w:rtl/>
            </w:rPr>
            <w:t>22 אוגוסט 2023</w:t>
          </w:r>
        </w:sdtContent>
      </w:sdt>
      <w:r w:rsidR="00005C8B" w:rsidRPr="001546C5">
        <w:rPr>
          <w:rFonts w:asciiTheme="minorBidi" w:hAnsiTheme="minorBidi" w:cstheme="minorBidi"/>
          <w:b/>
          <w:bCs/>
          <w:noProof w:val="0"/>
          <w:rtl/>
        </w:rPr>
        <w:t>, ב</w:t>
      </w:r>
      <w:r w:rsidR="00DD21B1" w:rsidRPr="001546C5">
        <w:rPr>
          <w:rFonts w:asciiTheme="minorBidi" w:hAnsiTheme="minorBidi" w:cstheme="minorBidi"/>
          <w:b/>
          <w:bCs/>
          <w:noProof w:val="0"/>
          <w:rtl/>
        </w:rPr>
        <w:t>מעמד</w:t>
      </w:r>
      <w:r w:rsidR="00005C8B" w:rsidRPr="001546C5">
        <w:rPr>
          <w:rFonts w:asciiTheme="minorBidi" w:hAnsiTheme="minorBidi" w:cstheme="minorBidi"/>
          <w:b/>
          <w:bCs/>
          <w:noProof w:val="0"/>
          <w:rtl/>
        </w:rPr>
        <w:t xml:space="preserve"> הצדדים.</w:t>
      </w:r>
    </w:p>
    <w:p w:rsidR="00C43648" w:rsidRDefault="004F2B60" w:rsidP="00BD6531">
      <w:pPr>
        <w:tabs>
          <w:tab w:val="left" w:pos="2553"/>
        </w:tabs>
        <w:ind w:left="5040"/>
        <w:rPr>
          <w:rFonts w:asciiTheme="minorBidi" w:hAnsiTheme="minorBidi" w:cstheme="minorBidi"/>
          <w:b/>
          <w:bCs/>
        </w:rPr>
      </w:pPr>
      <w:sdt>
        <w:sdtPr>
          <w:rPr>
            <w:rFonts w:asciiTheme="minorBidi" w:hAnsiTheme="minorBidi" w:cstheme="minorBidi"/>
            <w:b/>
            <w:bCs/>
            <w:rtl/>
          </w:rPr>
          <w:alias w:val="2045"/>
          <w:tag w:val="2045"/>
          <w:id w:val="740689340"/>
          <w:placeholder>
            <w:docPart w:val="E460D38E05664FF79D4EFF282EF8EC99"/>
          </w:placeholder>
          <w:showingPlcHdr/>
          <w:text w:multiLine="1"/>
        </w:sdtPr>
        <w:sdtEndPr/>
        <w:sdtContent>
          <w:r w:rsidR="00C43648" w:rsidRPr="00493153">
            <w:rPr>
              <w:rFonts w:asciiTheme="minorBidi" w:hAnsiTheme="minorBidi" w:cstheme="minorBidi"/>
              <w:b/>
              <w:bCs/>
              <w:rtl/>
            </w:rPr>
            <w:t xml:space="preserve">     </w:t>
          </w:r>
        </w:sdtContent>
      </w:sdt>
    </w:p>
    <w:p w:rsidR="000F7859" w:rsidRDefault="000F7859">
      <w:pPr>
        <w:rPr>
          <w:rtl/>
        </w:rPr>
      </w:pPr>
    </w:p>
    <w:tbl>
      <w:tblPr>
        <w:tblStyle w:val="aa"/>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45"/>
        <w:gridCol w:w="233"/>
        <w:gridCol w:w="2560"/>
        <w:gridCol w:w="281"/>
        <w:gridCol w:w="2494"/>
      </w:tblGrid>
      <w:tr w:rsidR="000F7859">
        <w:tc>
          <w:tcPr>
            <w:tcW w:w="2960" w:type="dxa"/>
            <w:tcBorders>
              <w:top w:val="nil"/>
              <w:left w:val="nil"/>
              <w:bottom w:val="single" w:sz="4" w:space="0" w:color="auto"/>
              <w:right w:val="nil"/>
            </w:tcBorders>
            <w:vAlign w:val="center"/>
          </w:tcPr>
          <w:p w:rsidR="000F7859" w:rsidRPr="00962601" w:rsidRDefault="000F7859">
            <w:pPr>
              <w:jc w:val="center"/>
              <w:rPr>
                <w:rFonts w:ascii="Courier New" w:hAnsi="Courier New"/>
                <w:b/>
                <w:bCs/>
              </w:rPr>
            </w:pPr>
            <w:r>
              <w:rPr>
                <w:rFonts w:ascii="Courier New" w:hAnsi="Courier New"/>
                <w:b/>
                <w:bCs/>
              </w:rPr>
              <w:drawing>
                <wp:inline distT="0" distB="0" distL="0" distR="0">
                  <wp:extent cx="1169035" cy="628015"/>
                  <wp:effectExtent l="0" t="0" r="0" b="635"/>
                  <wp:docPr id="5" name="Picture 1" descr="כ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כץ"/>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9035" cy="628015"/>
                          </a:xfrm>
                          <a:prstGeom prst="rect">
                            <a:avLst/>
                          </a:prstGeom>
                          <a:noFill/>
                          <a:ln>
                            <a:noFill/>
                          </a:ln>
                        </pic:spPr>
                      </pic:pic>
                    </a:graphicData>
                  </a:graphic>
                </wp:inline>
              </w:drawing>
            </w:r>
          </w:p>
        </w:tc>
        <w:tc>
          <w:tcPr>
            <w:tcW w:w="236" w:type="dxa"/>
            <w:vAlign w:val="center"/>
          </w:tcPr>
          <w:p w:rsidR="000F7859" w:rsidRDefault="000F7859">
            <w:pPr>
              <w:jc w:val="center"/>
              <w:rPr>
                <w:rFonts w:ascii="Courier New" w:hAnsi="Courier New"/>
                <w:b/>
                <w:bCs/>
              </w:rPr>
            </w:pPr>
          </w:p>
        </w:tc>
        <w:tc>
          <w:tcPr>
            <w:tcW w:w="2289" w:type="dxa"/>
            <w:tcBorders>
              <w:top w:val="nil"/>
              <w:left w:val="nil"/>
              <w:bottom w:val="single" w:sz="4" w:space="0" w:color="auto"/>
              <w:right w:val="nil"/>
            </w:tcBorders>
            <w:vAlign w:val="center"/>
          </w:tcPr>
          <w:p w:rsidR="000F7859" w:rsidRPr="00456469" w:rsidRDefault="000F7859">
            <w:pPr>
              <w:jc w:val="center"/>
              <w:rPr>
                <w:rFonts w:ascii="Courier New" w:hAnsi="Courier New"/>
                <w:b/>
                <w:bCs/>
                <w:sz w:val="20"/>
                <w:szCs w:val="20"/>
              </w:rPr>
            </w:pPr>
            <w:r>
              <w:drawing>
                <wp:inline distT="0" distB="0" distL="0" distR="0" wp14:anchorId="1D80100D" wp14:editId="54F48243">
                  <wp:extent cx="1488440" cy="829310"/>
                  <wp:effectExtent l="0" t="0" r="0" b="8890"/>
                  <wp:docPr id="2" name="תמונה 2"/>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88440" cy="829310"/>
                          </a:xfrm>
                          <a:prstGeom prst="rect">
                            <a:avLst/>
                          </a:prstGeom>
                          <a:noFill/>
                          <a:ln>
                            <a:noFill/>
                          </a:ln>
                        </pic:spPr>
                      </pic:pic>
                    </a:graphicData>
                  </a:graphic>
                </wp:inline>
              </w:drawing>
            </w:r>
          </w:p>
        </w:tc>
        <w:tc>
          <w:tcPr>
            <w:tcW w:w="300" w:type="dxa"/>
            <w:vAlign w:val="center"/>
          </w:tcPr>
          <w:p w:rsidR="000F7859" w:rsidRDefault="000F7859">
            <w:pPr>
              <w:jc w:val="center"/>
              <w:rPr>
                <w:rFonts w:ascii="Courier New" w:hAnsi="Courier New"/>
                <w:b/>
                <w:bCs/>
              </w:rPr>
            </w:pPr>
          </w:p>
        </w:tc>
        <w:tc>
          <w:tcPr>
            <w:tcW w:w="2737" w:type="dxa"/>
            <w:tcBorders>
              <w:top w:val="nil"/>
              <w:left w:val="nil"/>
              <w:bottom w:val="single" w:sz="4" w:space="0" w:color="auto"/>
              <w:right w:val="nil"/>
            </w:tcBorders>
            <w:vAlign w:val="center"/>
          </w:tcPr>
          <w:p w:rsidR="000F7859" w:rsidRPr="00C63D06" w:rsidRDefault="000F7859">
            <w:pPr>
              <w:jc w:val="center"/>
              <w:rPr>
                <w:rFonts w:ascii="Courier New" w:hAnsi="Courier New"/>
                <w:b/>
                <w:bCs/>
                <w:sz w:val="20"/>
                <w:szCs w:val="20"/>
              </w:rPr>
            </w:pPr>
            <w:r>
              <w:drawing>
                <wp:inline distT="0" distB="0" distL="0" distR="0" wp14:anchorId="06C8EA4C" wp14:editId="45DBA5BB">
                  <wp:extent cx="942975" cy="533400"/>
                  <wp:effectExtent l="0" t="0" r="9525" b="0"/>
                  <wp:docPr id="6"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12" cstate="print">
                            <a:extLst/>
                          </a:blip>
                          <a:stretch>
                            <a:fillRect/>
                          </a:stretch>
                        </pic:blipFill>
                        <pic:spPr>
                          <a:xfrm>
                            <a:off x="0" y="0"/>
                            <a:ext cx="942975" cy="533400"/>
                          </a:xfrm>
                          <a:prstGeom prst="rect">
                            <a:avLst/>
                          </a:prstGeom>
                        </pic:spPr>
                      </pic:pic>
                    </a:graphicData>
                  </a:graphic>
                </wp:inline>
              </w:drawing>
            </w:r>
          </w:p>
        </w:tc>
      </w:tr>
      <w:tr w:rsidR="000F7859">
        <w:tc>
          <w:tcPr>
            <w:tcW w:w="2960" w:type="dxa"/>
            <w:tcBorders>
              <w:top w:val="single" w:sz="4" w:space="0" w:color="auto"/>
              <w:left w:val="nil"/>
              <w:bottom w:val="nil"/>
              <w:right w:val="nil"/>
            </w:tcBorders>
            <w:vAlign w:val="bottom"/>
          </w:tcPr>
          <w:p w:rsidR="000F7859" w:rsidRDefault="000F7859" w:rsidP="0001733E">
            <w:pPr>
              <w:jc w:val="center"/>
              <w:rPr>
                <w:rFonts w:ascii="Arial" w:hAnsi="Arial" w:cs="Arial"/>
                <w:b/>
                <w:bCs/>
              </w:rPr>
            </w:pPr>
            <w:r>
              <w:rPr>
                <w:rFonts w:ascii="Arial" w:hAnsi="Arial" w:cs="Arial"/>
                <w:b/>
                <w:bCs/>
                <w:rtl/>
              </w:rPr>
              <w:t>ר</w:t>
            </w:r>
            <w:r>
              <w:rPr>
                <w:rFonts w:ascii="Arial" w:hAnsi="Arial" w:cs="Arial" w:hint="cs"/>
                <w:b/>
                <w:bCs/>
                <w:rtl/>
              </w:rPr>
              <w:t>ויטל</w:t>
            </w:r>
            <w:r>
              <w:rPr>
                <w:rFonts w:ascii="Arial" w:hAnsi="Arial" w:cs="Arial"/>
                <w:b/>
                <w:bCs/>
                <w:rtl/>
              </w:rPr>
              <w:t xml:space="preserve"> יפה-כ"ץ, נשיאה</w:t>
            </w:r>
          </w:p>
          <w:p w:rsidR="000F7859" w:rsidRDefault="000F7859" w:rsidP="001A3A0B">
            <w:pPr>
              <w:jc w:val="center"/>
              <w:rPr>
                <w:rFonts w:ascii="Arial" w:hAnsi="Arial" w:cs="Arial"/>
                <w:b/>
                <w:bCs/>
              </w:rPr>
            </w:pPr>
            <w:r>
              <w:rPr>
                <w:rFonts w:ascii="Arial" w:hAnsi="Arial" w:cs="Arial"/>
                <w:b/>
                <w:bCs/>
                <w:rtl/>
              </w:rPr>
              <w:t>אב"ד</w:t>
            </w:r>
          </w:p>
          <w:p w:rsidR="000F7859" w:rsidRPr="001A3A0B" w:rsidRDefault="000F7859" w:rsidP="001A3A0B">
            <w:pPr>
              <w:jc w:val="center"/>
              <w:rPr>
                <w:rFonts w:ascii="Courier New" w:hAnsi="Courier New"/>
                <w:b/>
                <w:bCs/>
              </w:rPr>
            </w:pPr>
          </w:p>
        </w:tc>
        <w:tc>
          <w:tcPr>
            <w:tcW w:w="236" w:type="dxa"/>
            <w:vAlign w:val="bottom"/>
          </w:tcPr>
          <w:p w:rsidR="000F7859" w:rsidRDefault="000F7859">
            <w:pPr>
              <w:jc w:val="center"/>
              <w:rPr>
                <w:rFonts w:ascii="Courier New" w:hAnsi="Courier New"/>
                <w:b/>
                <w:bCs/>
              </w:rPr>
            </w:pPr>
          </w:p>
        </w:tc>
        <w:tc>
          <w:tcPr>
            <w:tcW w:w="2289" w:type="dxa"/>
            <w:tcBorders>
              <w:top w:val="single" w:sz="4" w:space="0" w:color="auto"/>
              <w:left w:val="nil"/>
              <w:bottom w:val="nil"/>
              <w:right w:val="nil"/>
            </w:tcBorders>
          </w:tcPr>
          <w:p w:rsidR="000F7859" w:rsidRPr="006348A9" w:rsidRDefault="000F7859" w:rsidP="00385A38">
            <w:pPr>
              <w:jc w:val="center"/>
              <w:rPr>
                <w:rFonts w:ascii="Arial" w:hAnsi="Arial" w:cs="Arial"/>
                <w:b/>
                <w:bCs/>
              </w:rPr>
            </w:pPr>
            <w:r>
              <w:rPr>
                <w:rFonts w:ascii="Arial" w:hAnsi="Arial" w:cs="Arial"/>
                <w:b/>
                <w:bCs/>
                <w:rtl/>
              </w:rPr>
              <w:t>יואל עדן, שופט</w:t>
            </w:r>
          </w:p>
        </w:tc>
        <w:tc>
          <w:tcPr>
            <w:tcW w:w="300" w:type="dxa"/>
          </w:tcPr>
          <w:p w:rsidR="000F7859" w:rsidRPr="006348A9" w:rsidRDefault="000F7859">
            <w:pPr>
              <w:jc w:val="center"/>
              <w:rPr>
                <w:rFonts w:ascii="Arial" w:hAnsi="Arial" w:cs="Arial"/>
                <w:b/>
                <w:bCs/>
              </w:rPr>
            </w:pPr>
          </w:p>
        </w:tc>
        <w:tc>
          <w:tcPr>
            <w:tcW w:w="2737" w:type="dxa"/>
            <w:tcBorders>
              <w:top w:val="single" w:sz="4" w:space="0" w:color="auto"/>
              <w:left w:val="nil"/>
              <w:bottom w:val="nil"/>
              <w:right w:val="nil"/>
            </w:tcBorders>
          </w:tcPr>
          <w:p w:rsidR="000F7859" w:rsidRPr="006348A9" w:rsidRDefault="000F7859">
            <w:pPr>
              <w:jc w:val="center"/>
              <w:rPr>
                <w:rFonts w:ascii="Arial" w:hAnsi="Arial" w:cs="Arial"/>
                <w:b/>
                <w:bCs/>
              </w:rPr>
            </w:pPr>
            <w:r>
              <w:rPr>
                <w:rFonts w:ascii="Arial" w:hAnsi="Arial" w:cs="Arial"/>
                <w:b/>
                <w:bCs/>
                <w:rtl/>
              </w:rPr>
              <w:t>יעל ייטב, שופטת</w:t>
            </w:r>
          </w:p>
        </w:tc>
      </w:tr>
    </w:tbl>
    <w:p w:rsidR="000F7859" w:rsidRDefault="000F7859"/>
    <w:p w:rsidR="000F7859" w:rsidRPr="00493153" w:rsidRDefault="000F7859" w:rsidP="00BD6531">
      <w:pPr>
        <w:tabs>
          <w:tab w:val="left" w:pos="2553"/>
        </w:tabs>
        <w:ind w:left="5040"/>
        <w:rPr>
          <w:rFonts w:asciiTheme="minorBidi" w:hAnsiTheme="minorBidi" w:cstheme="minorBidi"/>
          <w:b/>
          <w:bCs/>
          <w:rtl/>
        </w:rPr>
      </w:pPr>
    </w:p>
    <w:sectPr w:rsidR="000F7859" w:rsidRPr="00493153" w:rsidSect="00CC3F1F">
      <w:headerReference w:type="even" r:id="rId13"/>
      <w:headerReference w:type="default" r:id="rId14"/>
      <w:footerReference w:type="even" r:id="rId15"/>
      <w:footerReference w:type="default" r:id="rId16"/>
      <w:headerReference w:type="first" r:id="rId17"/>
      <w:footerReference w:type="first" r:id="rId18"/>
      <w:pgSz w:w="11907" w:h="16840" w:code="9"/>
      <w:pgMar w:top="1418" w:right="1797" w:bottom="1134" w:left="1797"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D6F" w:rsidRDefault="00E41D6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706032600"/>
      <w:docPartObj>
        <w:docPartGallery w:val="Page Numbers (Bottom of Page)"/>
        <w:docPartUnique/>
      </w:docPartObj>
    </w:sdtPr>
    <w:sdtEndPr>
      <w:rPr>
        <w:cs/>
      </w:rPr>
    </w:sdtEndPr>
    <w:sdtContent>
      <w:p w:rsidR="0087633C" w:rsidRDefault="0087633C">
        <w:pPr>
          <w:pStyle w:val="a4"/>
          <w:jc w:val="center"/>
          <w:rPr>
            <w:rtl/>
            <w:cs/>
          </w:rPr>
        </w:pPr>
        <w:r>
          <w:fldChar w:fldCharType="begin"/>
        </w:r>
        <w:r>
          <w:rPr>
            <w:rtl/>
            <w:cs/>
          </w:rPr>
          <w:instrText>PAGE   \* MERGEFORMAT</w:instrText>
        </w:r>
        <w:r>
          <w:fldChar w:fldCharType="separate"/>
        </w:r>
        <w:r w:rsidR="004F2B60" w:rsidRPr="004F2B60">
          <w:rPr>
            <w:rtl/>
            <w:lang w:val="he-IL"/>
          </w:rPr>
          <w:t>1</w:t>
        </w:r>
        <w:r>
          <w:fldChar w:fldCharType="end"/>
        </w:r>
      </w:p>
    </w:sdtContent>
  </w:sdt>
  <w:p w:rsidR="00694556" w:rsidRPr="004E6E3C" w:rsidRDefault="00694556">
    <w:pPr>
      <w:pStyle w:val="a4"/>
      <w:jc w:val="center"/>
      <w:rPr>
        <w:rStyle w:val="ac"/>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D6F" w:rsidRDefault="00E41D6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D6F" w:rsidRDefault="00E41D6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75"/>
      <w:gridCol w:w="3532"/>
    </w:tblGrid>
    <w:tr w:rsidR="00694556" w:rsidTr="00DD21B1">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rsidTr="00DD21B1">
      <w:trPr>
        <w:trHeight w:val="337"/>
        <w:jc w:val="center"/>
      </w:trPr>
      <w:tc>
        <w:tcPr>
          <w:tcW w:w="4775" w:type="dxa"/>
        </w:tcPr>
        <w:p w:rsidR="00694556" w:rsidRDefault="00DD21B1" w:rsidP="002203FA">
          <w:pPr>
            <w:suppressLineNumbers/>
            <w:rPr>
              <w:b/>
              <w:bCs/>
              <w:noProof w:val="0"/>
              <w:sz w:val="26"/>
              <w:szCs w:val="26"/>
              <w:rtl/>
            </w:rPr>
          </w:pPr>
          <w:r w:rsidRPr="009921E5">
            <w:rPr>
              <w:rFonts w:asciiTheme="minorBidi" w:hAnsiTheme="minorBidi" w:cstheme="minorBidi"/>
              <w:b/>
              <w:bCs/>
              <w:rtl/>
            </w:rPr>
            <w:t>בפני</w:t>
          </w:r>
          <w:r w:rsidRPr="009921E5">
            <w:rPr>
              <w:rFonts w:asciiTheme="minorBidi" w:hAnsiTheme="minorBidi" w:cstheme="minorBidi"/>
              <w:b/>
              <w:bCs/>
              <w:noProof w:val="0"/>
              <w:sz w:val="26"/>
              <w:szCs w:val="26"/>
              <w:rtl/>
            </w:rPr>
            <w:t xml:space="preserve"> </w:t>
          </w:r>
          <w:r w:rsidR="002203FA">
            <w:rPr>
              <w:rFonts w:asciiTheme="minorBidi" w:hAnsiTheme="minorBidi" w:cstheme="minorBidi" w:hint="cs"/>
              <w:b/>
              <w:bCs/>
              <w:rtl/>
            </w:rPr>
            <w:t xml:space="preserve">כב' </w:t>
          </w:r>
          <w:r w:rsidR="00372FE1">
            <w:rPr>
              <w:rFonts w:asciiTheme="minorBidi" w:hAnsiTheme="minorBidi" w:cstheme="minorBidi" w:hint="cs"/>
              <w:b/>
              <w:bCs/>
              <w:rtl/>
            </w:rPr>
            <w:t>ה</w:t>
          </w:r>
          <w:sdt>
            <w:sdtPr>
              <w:rPr>
                <w:rFonts w:asciiTheme="minorBidi" w:hAnsiTheme="minorBidi" w:cstheme="minorBidi" w:hint="cs"/>
                <w:b/>
                <w:bCs/>
                <w:rtl/>
              </w:rPr>
              <w:alias w:val="1179"/>
              <w:tag w:val="1179"/>
              <w:id w:val="768272773"/>
              <w:placeholder>
                <w:docPart w:val="5E89D60CC85846FF84D0255E0619F192"/>
              </w:placeholder>
              <w:text w:multiLine="1"/>
            </w:sdtPr>
            <w:sdtEndPr/>
            <w:sdtContent>
              <w:r w:rsidR="002203FA">
                <w:rPr>
                  <w:rFonts w:asciiTheme="minorBidi" w:hAnsiTheme="minorBidi" w:cstheme="minorBidi" w:hint="eastAsia"/>
                  <w:b/>
                  <w:bCs/>
                  <w:rtl/>
                </w:rPr>
                <w:t>נשיאה רויטל יפה</w:t>
              </w:r>
              <w:r w:rsidR="002203FA">
                <w:rPr>
                  <w:rFonts w:asciiTheme="minorBidi" w:hAnsiTheme="minorBidi" w:cstheme="minorBidi" w:hint="cs"/>
                  <w:b/>
                  <w:bCs/>
                  <w:rtl/>
                </w:rPr>
                <w:t>-</w:t>
              </w:r>
              <w:r>
                <w:rPr>
                  <w:rFonts w:asciiTheme="minorBidi" w:hAnsiTheme="minorBidi" w:cstheme="minorBidi" w:hint="eastAsia"/>
                  <w:b/>
                  <w:bCs/>
                  <w:rtl/>
                </w:rPr>
                <w:t>כ</w:t>
              </w:r>
              <w:r w:rsidR="002203FA">
                <w:rPr>
                  <w:rFonts w:asciiTheme="minorBidi" w:hAnsiTheme="minorBidi" w:cstheme="minorBidi" w:hint="cs"/>
                  <w:b/>
                  <w:bCs/>
                  <w:rtl/>
                </w:rPr>
                <w:t>"</w:t>
              </w:r>
              <w:r>
                <w:rPr>
                  <w:rFonts w:asciiTheme="minorBidi" w:hAnsiTheme="minorBidi" w:cstheme="minorBidi" w:hint="eastAsia"/>
                  <w:b/>
                  <w:bCs/>
                  <w:rtl/>
                </w:rPr>
                <w:t>ץ</w:t>
              </w:r>
              <w:r w:rsidR="002203FA">
                <w:rPr>
                  <w:rFonts w:asciiTheme="minorBidi" w:hAnsiTheme="minorBidi" w:cstheme="minorBidi"/>
                  <w:b/>
                  <w:bCs/>
                  <w:rtl/>
                </w:rPr>
                <w:br/>
              </w:r>
              <w:r w:rsidR="002203FA">
                <w:rPr>
                  <w:rFonts w:asciiTheme="minorBidi" w:hAnsiTheme="minorBidi" w:cstheme="minorBidi" w:hint="cs"/>
                  <w:b/>
                  <w:bCs/>
                  <w:rtl/>
                </w:rPr>
                <w:t xml:space="preserve">       כב' השופט יואל עדן</w:t>
              </w:r>
              <w:r w:rsidR="002203FA">
                <w:rPr>
                  <w:rFonts w:asciiTheme="minorBidi" w:hAnsiTheme="minorBidi" w:cstheme="minorBidi"/>
                  <w:b/>
                  <w:bCs/>
                  <w:rtl/>
                </w:rPr>
                <w:br/>
              </w:r>
              <w:r w:rsidR="002203FA">
                <w:rPr>
                  <w:rFonts w:asciiTheme="minorBidi" w:hAnsiTheme="minorBidi" w:cstheme="minorBidi" w:hint="cs"/>
                  <w:b/>
                  <w:bCs/>
                  <w:rtl/>
                </w:rPr>
                <w:t xml:space="preserve">       כב' השופטת יעל ייטב</w:t>
              </w:r>
            </w:sdtContent>
          </w:sdt>
        </w:p>
      </w:tc>
      <w:tc>
        <w:tcPr>
          <w:tcW w:w="3532" w:type="dxa"/>
        </w:tcPr>
        <w:p w:rsidR="00DD21B1" w:rsidRPr="00EC2502" w:rsidRDefault="004F2B60">
          <w:pPr>
            <w:pStyle w:val="a3"/>
            <w:jc w:val="right"/>
            <w:rPr>
              <w:b/>
              <w:bCs/>
              <w:noProof w:val="0"/>
              <w:rtl/>
            </w:rPr>
          </w:pPr>
          <w:sdt>
            <w:sdtPr>
              <w:rPr>
                <w:rFonts w:asciiTheme="minorBidi" w:hAnsiTheme="minorBidi" w:cstheme="minorBidi"/>
                <w:b/>
                <w:bCs/>
                <w:noProof w:val="0"/>
                <w:rtl/>
              </w:rPr>
              <w:alias w:val="1170"/>
              <w:tag w:val="1170"/>
              <w:id w:val="1046112370"/>
              <w:placeholder>
                <w:docPart w:val="26B1C2BEB7F2402F8D6BC5936C0B8012"/>
              </w:placeholder>
              <w:text w:multiLine="1"/>
            </w:sdtPr>
            <w:sdtEndPr/>
            <w:sdtContent>
              <w:r w:rsidR="00770A14">
                <w:rPr>
                  <w:rFonts w:asciiTheme="minorBidi" w:hAnsiTheme="minorBidi" w:cstheme="minorBidi"/>
                  <w:b/>
                  <w:bCs/>
                  <w:noProof w:val="0"/>
                  <w:rtl/>
                </w:rPr>
                <w:t>עפ"ג</w:t>
              </w:r>
              <w:r w:rsidR="00DB0B8F">
                <w:rPr>
                  <w:rFonts w:asciiTheme="minorBidi" w:hAnsiTheme="minorBidi" w:cstheme="minorBidi" w:hint="cs"/>
                  <w:b/>
                  <w:bCs/>
                  <w:noProof w:val="0"/>
                  <w:rtl/>
                </w:rPr>
                <w:t xml:space="preserve"> </w:t>
              </w:r>
            </w:sdtContent>
          </w:sdt>
          <w:sdt>
            <w:sdtPr>
              <w:rPr>
                <w:rFonts w:asciiTheme="minorBidi" w:hAnsiTheme="minorBidi" w:cstheme="minorBidi"/>
                <w:b/>
                <w:bCs/>
                <w:noProof w:val="0"/>
                <w:rtl/>
              </w:rPr>
              <w:alias w:val="1171"/>
              <w:tag w:val="1171"/>
              <w:id w:val="182097751"/>
              <w:placeholder>
                <w:docPart w:val="8F03C07409554598B0D8541014BA5B47"/>
              </w:placeholder>
              <w:text w:multiLine="1"/>
            </w:sdtPr>
            <w:sdtEndPr/>
            <w:sdtContent>
              <w:r w:rsidR="00770A14">
                <w:rPr>
                  <w:rFonts w:asciiTheme="minorBidi" w:hAnsiTheme="minorBidi" w:cstheme="minorBidi"/>
                  <w:b/>
                  <w:bCs/>
                  <w:noProof w:val="0"/>
                  <w:rtl/>
                </w:rPr>
                <w:t>41733-02-23</w:t>
              </w:r>
            </w:sdtContent>
          </w:sdt>
          <w:r w:rsidR="00DD21B1" w:rsidRPr="00EC2502">
            <w:rPr>
              <w:b/>
              <w:bCs/>
              <w:noProof w:val="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D6F" w:rsidRDefault="00E41D6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8830FE"/>
    <w:multiLevelType w:val="hybridMultilevel"/>
    <w:tmpl w:val="C330A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1791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17917&amp;lt;/CaseID&amp;gt;_x000d__x000a_        &amp;lt;CaseMonth&amp;gt;2&amp;lt;/CaseMonth&amp;gt;_x000d__x000a_        &amp;lt;CaseYear&amp;gt;2023&amp;lt;/CaseYear&amp;gt;_x000d__x000a_        &amp;lt;CaseNumber&amp;gt;41733&amp;lt;/CaseNumber&amp;gt;_x000d__x000a_        &amp;lt;NumeratorGroupID&amp;gt;1&amp;lt;/NumeratorGroupID&amp;gt;_x000d__x000a_        &amp;lt;CaseName&amp;gt;מדינת ישראל נ&amp;#39; אבו גאמע&amp;lt;/CaseName&amp;gt;_x000d__x000a_        &amp;lt;CourtID&amp;gt;16&amp;lt;/CourtID&amp;gt;_x000d__x000a_        &amp;lt;CaseTypeID&amp;gt;10079&amp;lt;/CaseTypeID&amp;gt;_x000d__x000a_        &amp;lt;CaseJudgeName&amp;gt;יואל עדן&amp;lt;/CaseJudgeName&amp;gt;_x000d__x000a_        &amp;lt;CaseLinkTypeID&amp;gt;7&amp;lt;/CaseLinkTypeID&amp;gt;_x000d__x000a_        &amp;lt;ProcedureID&amp;gt;2&amp;lt;/ProcedureID&amp;gt;_x000d__x000a_        &amp;lt;CaseStatusID&amp;gt;1&amp;lt;/CaseStatusID&amp;gt;_x000d__x000a_        &amp;lt;ProceedingID&amp;gt;17&amp;lt;/ProceedingID&amp;gt;_x000d__x000a_        &amp;lt;IsCaseLinked&amp;gt;true&amp;lt;/IsCaseLinked&amp;gt;_x000d__x000a_        &amp;lt;PrivilegeID&amp;gt;1&amp;lt;/PrivilegeID&amp;gt;_x000d__x000a_        &amp;lt;IsAppealingCaseExist&amp;gt;false&amp;lt;/IsAppealingCaseExist&amp;gt;_x000d__x000a_        &amp;lt;CaseDisplayIdentifier&amp;gt;41733-02-23&amp;lt;/CaseDisplayIdentifier&amp;gt;_x000d__x000a_        &amp;lt;CaseTypeDesc&amp;gt;עפ&amp;quot;ג&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2-19T08:57:00+02:00&amp;lt;/CaseOpenDate&amp;gt;_x000d__x000a_        &amp;lt;PleaTypeID&amp;gt;6&amp;lt;/PleaTypeID&amp;gt;_x000d__x000a_        &amp;lt;CourtLevelID&amp;gt;2&amp;lt;/CourtLevelID&amp;gt;_x000d__x000a_        &amp;lt;CourtLevelCaseTypeInterestID&amp;gt;449&amp;lt;/CourtLevelCaseTypeInterestID&amp;gt;_x000d__x000a_        &amp;lt;CaseJudgeFirstName&amp;gt;יואל&amp;lt;/CaseJudgeFirstName&amp;gt;_x000d__x000a_        &amp;lt;CaseJudgeLastName&amp;gt;עדן&amp;lt;/CaseJudgeLastName&amp;gt;_x000d__x000a_        &amp;lt;JudicalPersonID&amp;gt;058402603@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true&amp;lt;/IsMainCase&amp;gt;_x000d__x000a_        &amp;lt;CaseDesc&amp;gt;הודע לעו&amp;quot;ד אביטן טלפונית החלטה מיום 14.5.23_x000d__x000a__x000d__x000a_שלי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17917&amp;lt;/CaseID&amp;gt;_x000d__x000a_        &amp;lt;CaseMonth&amp;gt;2&amp;lt;/CaseMonth&amp;gt;_x000d__x000a_        &amp;lt;CaseYear&amp;gt;2023&amp;lt;/CaseYear&amp;gt;_x000d__x000a_        &amp;lt;CaseNumber&amp;gt;41733&amp;lt;/CaseNumber&amp;gt;_x000d__x000a_        &amp;lt;NumeratorGroupID&amp;gt;1&amp;lt;/NumeratorGroupID&amp;gt;_x000d__x000a_        &amp;lt;CaseName&amp;gt;מדינת ישראל נ&amp;#39; אבו גאמע&amp;lt;/CaseName&amp;gt;_x000d__x000a_        &amp;lt;CourtID&amp;gt;16&amp;lt;/CourtID&amp;gt;_x000d__x000a_        &amp;lt;CaseTypeID&amp;gt;10079&amp;lt;/CaseTypeID&amp;gt;_x000d__x000a_        &amp;lt;CaseJudgeName&amp;gt;יואל עדן&amp;lt;/CaseJudgeName&amp;gt;_x000d__x000a_        &amp;lt;CaseLinkTypeID&amp;gt;7&amp;lt;/CaseLinkTypeID&amp;gt;_x000d__x000a_        &amp;lt;ProcedureID&amp;gt;2&amp;lt;/ProcedureID&amp;gt;_x000d__x000a_        &amp;lt;CaseStatusID&amp;gt;1&amp;lt;/CaseStatusID&amp;gt;_x000d__x000a_        &amp;lt;ProceedingID&amp;gt;17&amp;lt;/ProceedingID&amp;gt;_x000d__x000a_        &amp;lt;IsCaseLinked&amp;gt;true&amp;lt;/IsCaseLinked&amp;gt;_x000d__x000a_        &amp;lt;PrivilegeID&amp;gt;1&amp;lt;/PrivilegeID&amp;gt;_x000d__x000a_        &amp;lt;IsAppealingCaseExist&amp;gt;false&amp;lt;/IsAppealingCaseExist&amp;gt;_x000d__x000a_        &amp;lt;CaseDisplayIdentifier&amp;gt;41733-02-23&amp;lt;/CaseDisplayIdentifier&amp;gt;_x000d__x000a_        &amp;lt;CaseTypeDesc&amp;gt;עפ&amp;quot;ג&amp;lt;/CaseTypeDesc&amp;gt;_x000d__x000a_        &amp;lt;CourtDesc&amp;gt;המחוזי באר שבע&amp;lt;/CourtDesc&amp;gt;_x000d__x000a_        &amp;lt;CaseStageDesc&amp;gt;תיק אלקטרוני&amp;lt;/CaseStageDesc&amp;gt;_x000d__x000a_        &amp;lt;CaseNextDeterminingTask&amp;gt;34&amp;lt;/CaseNextDeterminingTask&amp;gt;_x000d__x000a_        &amp;lt;CaseOpenDate&amp;gt;2023-02-19T08:57:00+02:00&amp;lt;/CaseOpenDate&amp;gt;_x000d__x000a_        &amp;lt;PleaTypeID&amp;gt;6&amp;lt;/PleaTypeID&amp;gt;_x000d__x000a_        &amp;lt;CourtLevelID&amp;gt;2&amp;lt;/CourtLevelID&amp;gt;_x000d__x000a_        &amp;lt;CourtLevelCaseTypeInterestID&amp;gt;449&amp;lt;/CourtLevelCaseTypeInterestID&amp;gt;_x000d__x000a_        &amp;lt;CaseJudgeFirstName&amp;gt;יואל&amp;lt;/CaseJudgeFirstName&amp;gt;_x000d__x000a_        &amp;lt;CaseJudgeLastName&amp;gt;עדן&amp;lt;/CaseJudgeLastName&amp;gt;_x000d__x000a_        &amp;lt;JudicalPersonID&amp;gt;058402603@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true&amp;lt;/IsMainCase&amp;gt;_x000d__x000a_        &amp;lt;CaseDesc&amp;gt;הודע לעו&amp;quot;ד אביטן טלפונית החלטה מיום 14.5.23_x000d__x000a__x000d__x000a_של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468850&amp;lt;/DecisionID&amp;gt;_x000d__x000a_        &amp;lt;DecisionName&amp;gt;פסק דין  שניתנה ע&amp;quot;י  רויטל יפה כץ&amp;lt;/DecisionName&amp;gt;_x000d__x000a_        &amp;lt;DecisionStatusID&amp;gt;1&amp;lt;/DecisionStatusID&amp;gt;_x000d__x000a_        &amp;lt;DecisionStatusChangeDate&amp;gt;2023-08-01T14:28:52.893+03:00&amp;lt;/DecisionStatusChangeDate&amp;gt;_x000d__x000a_        &amp;lt;DecisionSignatureDate&amp;gt;2023-07-26T17:23:12.277+03:00&amp;lt;/DecisionSignatureDate&amp;gt;_x000d__x000a_        &amp;lt;DecisionSignatureUserID&amp;gt;054303474@GOV.IL&amp;lt;/DecisionSignatureUserID&amp;gt;_x000d__x000a_        &amp;lt;DecisionCreateDate&amp;gt;2023-07-26T17:27:44.777+03:00&amp;lt;/DecisionCreateDate&amp;gt;_x000d__x000a_        &amp;lt;DecisionChangeDate&amp;gt;2023-08-01T14:28:53.047+03:00&amp;lt;/DecisionChangeDate&amp;gt;_x000d__x000a_        &amp;lt;DecisionChangeUserID&amp;gt;0543034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805471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30347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4303474@GOV.IL&amp;lt;/DecisionCreationUserID&amp;gt;_x000d__x000a_        &amp;lt;DecisionDisplayName&amp;gt;פסק דין  שניתנה ע&amp;quot;י  רויטל יפה כץ&amp;lt;/DecisionDisplayName&amp;gt;_x000d__x000a_        &amp;lt;IsScanned&amp;gt;false&amp;lt;/IsScanned&amp;gt;_x000d__x000a_        &amp;lt;DecisionSignatureUserName&amp;gt;רויטל יפה כ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46468850&amp;lt;/DecisionID&amp;gt;_x000d__x000a_        &amp;lt;CaseID&amp;gt;80017917&amp;lt;/CaseID&amp;gt;_x000d__x000a_        &amp;lt;IsOriginal&amp;gt;true&amp;lt;/IsOriginal&amp;gt;_x000d__x000a_        &amp;lt;IsDeleted&amp;gt;false&amp;lt;/IsDeleted&amp;gt;_x000d__x000a_        &amp;lt;CaseName&amp;gt;מדינת ישראל נ&amp;#39; אבו גאמע&amp;lt;/CaseName&amp;gt;_x000d__x000a_        &amp;lt;CaseDisplayIdentifier&amp;gt;41733-02-23 עפ&amp;quot;ג&amp;lt;/CaseDisplayIdentifier&amp;gt;_x000d__x000a_      &amp;lt;/dt_DecisionCase&amp;gt;_x000d__x000a_      &amp;lt;dt_DecisionJudgePanel diffgr:id=&amp;quot;dt_DecisionJudgePanel1&amp;quot; msdata:rowOrder=&amp;quot;0&amp;quot;&amp;gt;_x000d__x000a_        &amp;lt;DecisionID&amp;gt;146468850&amp;lt;/DecisionID&amp;gt;_x000d__x000a_        &amp;lt;JudgeID&amp;gt;054303474@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6468850&amp;lt;/DecisionID&amp;gt;_x000d__x000a_        &amp;lt;JudgeID&amp;gt;03868226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6468850&amp;lt;/DecisionID&amp;gt;_x000d__x000a_        &amp;lt;JudgeID&amp;gt;023592660@GOV.IL&amp;lt;/JudgeID&amp;gt;_x000d__x000a_        &amp;lt;OrdinalNumber&amp;gt;3&amp;lt;/OrdinalNumber&amp;gt;_x000d__x000a_      &amp;lt;/dt_DecisionJudgePanel&amp;gt;_x000d__x000a_    &amp;lt;/DecisionDS&amp;gt;_x000d__x000a_  &amp;lt;/diffgr:diffgram&amp;gt;_x000d__x000a_&amp;lt;/DecisionDS&amp;gt;"/>
    <w:docVar w:name="DecisionID" w:val="146468850"/>
    <w:docVar w:name="docID" w:val="418054710"/>
    <w:docVar w:name="judgeUPN" w:val="054303474@GOV.IL"/>
    <w:docVar w:name="NGCS.TemplateCaseInterestID" w:val="-1"/>
    <w:docVar w:name="NGCS.TemplateCaseTypeID" w:val="10079"/>
    <w:docVar w:name="NGCS.TemplateCourtID" w:val="16"/>
    <w:docVar w:name="NGCS.TemplateProceedingID" w:val="17"/>
    <w:docVar w:name="noteDocID" w:val="418054710"/>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4FBD"/>
    <w:rsid w:val="00080ABA"/>
    <w:rsid w:val="00082AB2"/>
    <w:rsid w:val="000906FE"/>
    <w:rsid w:val="00096AF7"/>
    <w:rsid w:val="000B344B"/>
    <w:rsid w:val="000C3B0F"/>
    <w:rsid w:val="000C3B60"/>
    <w:rsid w:val="000E0DD2"/>
    <w:rsid w:val="000E3AF1"/>
    <w:rsid w:val="000F0BC8"/>
    <w:rsid w:val="000F0DD6"/>
    <w:rsid w:val="000F7859"/>
    <w:rsid w:val="00107E6D"/>
    <w:rsid w:val="001113B0"/>
    <w:rsid w:val="0011194C"/>
    <w:rsid w:val="0011424C"/>
    <w:rsid w:val="001173C6"/>
    <w:rsid w:val="001367BC"/>
    <w:rsid w:val="00144D2A"/>
    <w:rsid w:val="0014653E"/>
    <w:rsid w:val="001546C5"/>
    <w:rsid w:val="00167538"/>
    <w:rsid w:val="00180519"/>
    <w:rsid w:val="00191C82"/>
    <w:rsid w:val="001928D2"/>
    <w:rsid w:val="00194C97"/>
    <w:rsid w:val="0019655B"/>
    <w:rsid w:val="001C4003"/>
    <w:rsid w:val="001D4DBF"/>
    <w:rsid w:val="001E75CA"/>
    <w:rsid w:val="002203FA"/>
    <w:rsid w:val="00220712"/>
    <w:rsid w:val="002265FF"/>
    <w:rsid w:val="00271B56"/>
    <w:rsid w:val="002C344E"/>
    <w:rsid w:val="002E75E9"/>
    <w:rsid w:val="002F0B1E"/>
    <w:rsid w:val="00307A6A"/>
    <w:rsid w:val="00307C40"/>
    <w:rsid w:val="00320433"/>
    <w:rsid w:val="003230C7"/>
    <w:rsid w:val="00327E50"/>
    <w:rsid w:val="0033597A"/>
    <w:rsid w:val="00343D89"/>
    <w:rsid w:val="0035639D"/>
    <w:rsid w:val="00360265"/>
    <w:rsid w:val="00362612"/>
    <w:rsid w:val="0036743F"/>
    <w:rsid w:val="003715DD"/>
    <w:rsid w:val="00372FE1"/>
    <w:rsid w:val="003823E0"/>
    <w:rsid w:val="003A4521"/>
    <w:rsid w:val="003D1C8C"/>
    <w:rsid w:val="003E38C7"/>
    <w:rsid w:val="003E4D85"/>
    <w:rsid w:val="0040096C"/>
    <w:rsid w:val="00414F1F"/>
    <w:rsid w:val="00423F13"/>
    <w:rsid w:val="0043125D"/>
    <w:rsid w:val="0043502B"/>
    <w:rsid w:val="004443AC"/>
    <w:rsid w:val="00444B02"/>
    <w:rsid w:val="00451E28"/>
    <w:rsid w:val="004600D6"/>
    <w:rsid w:val="00462C62"/>
    <w:rsid w:val="00465D36"/>
    <w:rsid w:val="00493153"/>
    <w:rsid w:val="00495C36"/>
    <w:rsid w:val="004C17EE"/>
    <w:rsid w:val="004C4BDF"/>
    <w:rsid w:val="004C6255"/>
    <w:rsid w:val="004D1187"/>
    <w:rsid w:val="004D3AA0"/>
    <w:rsid w:val="004E1987"/>
    <w:rsid w:val="004E2E15"/>
    <w:rsid w:val="004E6E3C"/>
    <w:rsid w:val="004F2B60"/>
    <w:rsid w:val="00520898"/>
    <w:rsid w:val="00523621"/>
    <w:rsid w:val="00524986"/>
    <w:rsid w:val="005268F6"/>
    <w:rsid w:val="005304A1"/>
    <w:rsid w:val="00534284"/>
    <w:rsid w:val="005463B5"/>
    <w:rsid w:val="00547DB7"/>
    <w:rsid w:val="005556A2"/>
    <w:rsid w:val="005A2D67"/>
    <w:rsid w:val="005B57A7"/>
    <w:rsid w:val="005E0E96"/>
    <w:rsid w:val="005F3868"/>
    <w:rsid w:val="005F4F09"/>
    <w:rsid w:val="006001E5"/>
    <w:rsid w:val="0061431B"/>
    <w:rsid w:val="00622BAA"/>
    <w:rsid w:val="006306CF"/>
    <w:rsid w:val="00644E9A"/>
    <w:rsid w:val="00653EF1"/>
    <w:rsid w:val="00671BD5"/>
    <w:rsid w:val="00676EBD"/>
    <w:rsid w:val="006805C1"/>
    <w:rsid w:val="00686C21"/>
    <w:rsid w:val="006931C1"/>
    <w:rsid w:val="00694556"/>
    <w:rsid w:val="006C30C5"/>
    <w:rsid w:val="006D3B31"/>
    <w:rsid w:val="006E0D96"/>
    <w:rsid w:val="006E1A53"/>
    <w:rsid w:val="006F56E6"/>
    <w:rsid w:val="00704EDA"/>
    <w:rsid w:val="00713E55"/>
    <w:rsid w:val="00721122"/>
    <w:rsid w:val="0072262E"/>
    <w:rsid w:val="00734689"/>
    <w:rsid w:val="00735884"/>
    <w:rsid w:val="00753019"/>
    <w:rsid w:val="00754801"/>
    <w:rsid w:val="00761441"/>
    <w:rsid w:val="00770A14"/>
    <w:rsid w:val="00795365"/>
    <w:rsid w:val="007A351D"/>
    <w:rsid w:val="007B7765"/>
    <w:rsid w:val="007C5BDD"/>
    <w:rsid w:val="007D45E3"/>
    <w:rsid w:val="007E6115"/>
    <w:rsid w:val="007F4609"/>
    <w:rsid w:val="00814468"/>
    <w:rsid w:val="008176A1"/>
    <w:rsid w:val="00820005"/>
    <w:rsid w:val="00844318"/>
    <w:rsid w:val="00850586"/>
    <w:rsid w:val="00863F5D"/>
    <w:rsid w:val="00870890"/>
    <w:rsid w:val="00873602"/>
    <w:rsid w:val="00875D12"/>
    <w:rsid w:val="0087633C"/>
    <w:rsid w:val="0087637C"/>
    <w:rsid w:val="00876461"/>
    <w:rsid w:val="0088479D"/>
    <w:rsid w:val="00887EF8"/>
    <w:rsid w:val="00891F42"/>
    <w:rsid w:val="00896889"/>
    <w:rsid w:val="008A6E97"/>
    <w:rsid w:val="008C2740"/>
    <w:rsid w:val="008C5714"/>
    <w:rsid w:val="008C5A94"/>
    <w:rsid w:val="008D10B2"/>
    <w:rsid w:val="008E21F3"/>
    <w:rsid w:val="00903896"/>
    <w:rsid w:val="00906F3D"/>
    <w:rsid w:val="00933E2F"/>
    <w:rsid w:val="0094424E"/>
    <w:rsid w:val="0095249B"/>
    <w:rsid w:val="00955642"/>
    <w:rsid w:val="009622DF"/>
    <w:rsid w:val="0096493F"/>
    <w:rsid w:val="0096779B"/>
    <w:rsid w:val="00967DFF"/>
    <w:rsid w:val="00980178"/>
    <w:rsid w:val="009921E5"/>
    <w:rsid w:val="00994341"/>
    <w:rsid w:val="009A2EDF"/>
    <w:rsid w:val="009D1A48"/>
    <w:rsid w:val="009D6D2A"/>
    <w:rsid w:val="009E1CE7"/>
    <w:rsid w:val="009E3C76"/>
    <w:rsid w:val="009E4EA5"/>
    <w:rsid w:val="009F164B"/>
    <w:rsid w:val="009F323C"/>
    <w:rsid w:val="00A3392B"/>
    <w:rsid w:val="00A62F8D"/>
    <w:rsid w:val="00A85E34"/>
    <w:rsid w:val="00A9144F"/>
    <w:rsid w:val="00A94B64"/>
    <w:rsid w:val="00AA3229"/>
    <w:rsid w:val="00AA7596"/>
    <w:rsid w:val="00AB5E52"/>
    <w:rsid w:val="00AC3B02"/>
    <w:rsid w:val="00AC3B7B"/>
    <w:rsid w:val="00AC5209"/>
    <w:rsid w:val="00AE0E34"/>
    <w:rsid w:val="00AE729E"/>
    <w:rsid w:val="00AE7752"/>
    <w:rsid w:val="00AF4BEC"/>
    <w:rsid w:val="00AF7FDA"/>
    <w:rsid w:val="00B5356E"/>
    <w:rsid w:val="00B71528"/>
    <w:rsid w:val="00B809AD"/>
    <w:rsid w:val="00B80CBD"/>
    <w:rsid w:val="00B86096"/>
    <w:rsid w:val="00B964D9"/>
    <w:rsid w:val="00BA0A7C"/>
    <w:rsid w:val="00BA517C"/>
    <w:rsid w:val="00BB3D05"/>
    <w:rsid w:val="00BB4B7E"/>
    <w:rsid w:val="00BB73BE"/>
    <w:rsid w:val="00BC2D89"/>
    <w:rsid w:val="00BD1F08"/>
    <w:rsid w:val="00BD3CB4"/>
    <w:rsid w:val="00BD6531"/>
    <w:rsid w:val="00BE05B2"/>
    <w:rsid w:val="00BF1908"/>
    <w:rsid w:val="00BF5F4E"/>
    <w:rsid w:val="00C04890"/>
    <w:rsid w:val="00C22D93"/>
    <w:rsid w:val="00C23458"/>
    <w:rsid w:val="00C31120"/>
    <w:rsid w:val="00C34482"/>
    <w:rsid w:val="00C35A97"/>
    <w:rsid w:val="00C36B8D"/>
    <w:rsid w:val="00C43648"/>
    <w:rsid w:val="00C50A9F"/>
    <w:rsid w:val="00C642FA"/>
    <w:rsid w:val="00CB5112"/>
    <w:rsid w:val="00CC3F1F"/>
    <w:rsid w:val="00CC7622"/>
    <w:rsid w:val="00CD608F"/>
    <w:rsid w:val="00CF6BB7"/>
    <w:rsid w:val="00D00DD0"/>
    <w:rsid w:val="00D04AA4"/>
    <w:rsid w:val="00D25CC6"/>
    <w:rsid w:val="00D27982"/>
    <w:rsid w:val="00D33B86"/>
    <w:rsid w:val="00D44968"/>
    <w:rsid w:val="00D53924"/>
    <w:rsid w:val="00D55D0C"/>
    <w:rsid w:val="00D732A6"/>
    <w:rsid w:val="00D96D8C"/>
    <w:rsid w:val="00DA6649"/>
    <w:rsid w:val="00DB0B8F"/>
    <w:rsid w:val="00DC1259"/>
    <w:rsid w:val="00DC1BD2"/>
    <w:rsid w:val="00DC2571"/>
    <w:rsid w:val="00DC487C"/>
    <w:rsid w:val="00DD21B1"/>
    <w:rsid w:val="00DD4335"/>
    <w:rsid w:val="00DE1E7D"/>
    <w:rsid w:val="00DE3861"/>
    <w:rsid w:val="00DE6BF6"/>
    <w:rsid w:val="00E00709"/>
    <w:rsid w:val="00E02738"/>
    <w:rsid w:val="00E048AC"/>
    <w:rsid w:val="00E1068A"/>
    <w:rsid w:val="00E25884"/>
    <w:rsid w:val="00E25B55"/>
    <w:rsid w:val="00E31C2B"/>
    <w:rsid w:val="00E41D6F"/>
    <w:rsid w:val="00E5426A"/>
    <w:rsid w:val="00E54642"/>
    <w:rsid w:val="00E56496"/>
    <w:rsid w:val="00E80CBE"/>
    <w:rsid w:val="00E8295D"/>
    <w:rsid w:val="00E9269D"/>
    <w:rsid w:val="00E962E3"/>
    <w:rsid w:val="00EB6C79"/>
    <w:rsid w:val="00EB7067"/>
    <w:rsid w:val="00EC2502"/>
    <w:rsid w:val="00EC37E9"/>
    <w:rsid w:val="00ED0CEB"/>
    <w:rsid w:val="00F038D8"/>
    <w:rsid w:val="00F06995"/>
    <w:rsid w:val="00F12D66"/>
    <w:rsid w:val="00F13623"/>
    <w:rsid w:val="00F44D1D"/>
    <w:rsid w:val="00F54BA1"/>
    <w:rsid w:val="00F84B6D"/>
    <w:rsid w:val="00F957E8"/>
    <w:rsid w:val="00FA311A"/>
    <w:rsid w:val="00FA345D"/>
    <w:rsid w:val="00FA5FDA"/>
    <w:rsid w:val="00FB6AB3"/>
    <w:rsid w:val="00FD1419"/>
    <w:rsid w:val="00FD79E4"/>
    <w:rsid w:val="00FD7E0F"/>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link w:val="a5"/>
    <w:uiPriority w:val="99"/>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character" w:customStyle="1" w:styleId="a5">
    <w:name w:val="כותרת תחתונה תו"/>
    <w:basedOn w:val="a0"/>
    <w:link w:val="a4"/>
    <w:uiPriority w:val="99"/>
    <w:rsid w:val="0087633C"/>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16361">
      <w:bodyDiv w:val="1"/>
      <w:marLeft w:val="0"/>
      <w:marRight w:val="0"/>
      <w:marTop w:val="0"/>
      <w:marBottom w:val="0"/>
      <w:divBdr>
        <w:top w:val="none" w:sz="0" w:space="0" w:color="auto"/>
        <w:left w:val="none" w:sz="0" w:space="0" w:color="auto"/>
        <w:bottom w:val="none" w:sz="0" w:space="0" w:color="auto"/>
        <w:right w:val="none" w:sz="0" w:space="0" w:color="auto"/>
      </w:divBdr>
    </w:div>
    <w:div w:id="64605439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E551D" w:rsidP="00FE551D">
          <w:pPr>
            <w:pStyle w:val="E460D38E05664FF79D4EFF282EF8EC9928"/>
          </w:pPr>
          <w:r w:rsidRPr="00493153">
            <w:rPr>
              <w:rFonts w:asciiTheme="minorBidi" w:hAnsiTheme="minorBidi" w:cstheme="minorBidi"/>
              <w:b/>
              <w:bCs/>
              <w:rtl/>
            </w:rPr>
            <w:t xml:space="preserve">     </w:t>
          </w:r>
        </w:p>
      </w:docPartBody>
    </w:docPart>
    <w:docPart>
      <w:docPartPr>
        <w:name w:val="26B1C2BEB7F2402F8D6BC5936C0B8012"/>
        <w:category>
          <w:name w:val="כללי"/>
          <w:gallery w:val="placeholder"/>
        </w:category>
        <w:types>
          <w:type w:val="bbPlcHdr"/>
        </w:types>
        <w:behaviors>
          <w:behavior w:val="content"/>
        </w:behaviors>
        <w:guid w:val="{0C2FDF10-C31C-47FA-9BAF-2F74C17B9C23}"/>
      </w:docPartPr>
      <w:docPartBody>
        <w:p w:rsidR="00E322D3" w:rsidRDefault="00D92F30" w:rsidP="00D92F30">
          <w:pPr>
            <w:pStyle w:val="26B1C2BEB7F2402F8D6BC5936C0B80127"/>
          </w:pPr>
          <w:r w:rsidRPr="00EC2502">
            <w:rPr>
              <w:rFonts w:asciiTheme="minorBidi" w:hAnsiTheme="minorBidi" w:cstheme="minorBidi"/>
              <w:b/>
              <w:bCs/>
              <w:noProof w:val="0"/>
              <w:rtl/>
            </w:rPr>
            <w:t>סוג תיק</w:t>
          </w:r>
        </w:p>
      </w:docPartBody>
    </w:docPart>
    <w:docPart>
      <w:docPartPr>
        <w:name w:val="8F03C07409554598B0D8541014BA5B47"/>
        <w:category>
          <w:name w:val="כללי"/>
          <w:gallery w:val="placeholder"/>
        </w:category>
        <w:types>
          <w:type w:val="bbPlcHdr"/>
        </w:types>
        <w:behaviors>
          <w:behavior w:val="content"/>
        </w:behaviors>
        <w:guid w:val="{5EC22824-D2E3-41A7-9DB4-0CC5052F847F}"/>
      </w:docPartPr>
      <w:docPartBody>
        <w:p w:rsidR="00E322D3" w:rsidRDefault="00D92F30" w:rsidP="00D92F30">
          <w:pPr>
            <w:pStyle w:val="8F03C07409554598B0D8541014BA5B477"/>
          </w:pPr>
          <w:r w:rsidRPr="00EC2502">
            <w:rPr>
              <w:rFonts w:asciiTheme="minorBidi" w:hAnsiTheme="minorBidi" w:cstheme="minorBidi"/>
              <w:b/>
              <w:bCs/>
              <w:noProof w:val="0"/>
              <w:rtl/>
            </w:rPr>
            <w:t>מספר תיק</w:t>
          </w:r>
        </w:p>
      </w:docPartBody>
    </w:docPart>
    <w:docPart>
      <w:docPartPr>
        <w:name w:val="5E89D60CC85846FF84D0255E0619F192"/>
        <w:category>
          <w:name w:val="כללי"/>
          <w:gallery w:val="placeholder"/>
        </w:category>
        <w:types>
          <w:type w:val="bbPlcHdr"/>
        </w:types>
        <w:behaviors>
          <w:behavior w:val="content"/>
        </w:behaviors>
        <w:guid w:val="{2E29F37D-9162-49CE-9481-85A2A388B2A2}"/>
      </w:docPartPr>
      <w:docPartBody>
        <w:p w:rsidR="00FE551D" w:rsidRDefault="00D92F30">
          <w:r w:rsidRPr="00850EE0">
            <w:rPr>
              <w:rStyle w:val="a3"/>
              <w:rtl/>
            </w:rPr>
            <w:t>גורם שיפוטי בתיק</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613F2"/>
    <w:rsid w:val="000A4ACE"/>
    <w:rsid w:val="000E3259"/>
    <w:rsid w:val="002D02C4"/>
    <w:rsid w:val="00345C9D"/>
    <w:rsid w:val="004452F8"/>
    <w:rsid w:val="0048651F"/>
    <w:rsid w:val="004D0C0C"/>
    <w:rsid w:val="005157ED"/>
    <w:rsid w:val="00556D67"/>
    <w:rsid w:val="0067069E"/>
    <w:rsid w:val="00793995"/>
    <w:rsid w:val="007C6F98"/>
    <w:rsid w:val="007E254A"/>
    <w:rsid w:val="008B4366"/>
    <w:rsid w:val="009133C7"/>
    <w:rsid w:val="009178E4"/>
    <w:rsid w:val="00961B27"/>
    <w:rsid w:val="00A43350"/>
    <w:rsid w:val="00AA7CE3"/>
    <w:rsid w:val="00B50DB2"/>
    <w:rsid w:val="00B91FA3"/>
    <w:rsid w:val="00BE6557"/>
    <w:rsid w:val="00C96C06"/>
    <w:rsid w:val="00D24521"/>
    <w:rsid w:val="00D92F30"/>
    <w:rsid w:val="00E31BF6"/>
    <w:rsid w:val="00E322D3"/>
    <w:rsid w:val="00E81DB1"/>
    <w:rsid w:val="00F00DF8"/>
    <w:rsid w:val="00F04DC1"/>
    <w:rsid w:val="00F678CA"/>
    <w:rsid w:val="00FD7717"/>
    <w:rsid w:val="00FE551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2F3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E322D3"/>
    <w:pPr>
      <w:bidi/>
      <w:spacing w:after="0" w:line="240" w:lineRule="auto"/>
    </w:pPr>
    <w:rPr>
      <w:rFonts w:ascii="Times New Roman" w:eastAsia="Times New Roman" w:hAnsi="Times New Roman" w:cs="David"/>
      <w:noProof/>
      <w:sz w:val="24"/>
      <w:szCs w:val="24"/>
    </w:rPr>
  </w:style>
  <w:style w:type="paragraph" w:customStyle="1" w:styleId="75B980CFE2104A8ABB3A2462472FCFC4">
    <w:name w:val="75B980CFE2104A8ABB3A2462472FCFC4"/>
    <w:rsid w:val="00E322D3"/>
    <w:pPr>
      <w:bidi/>
      <w:spacing w:after="0" w:line="240" w:lineRule="auto"/>
    </w:pPr>
    <w:rPr>
      <w:rFonts w:ascii="Times New Roman" w:eastAsia="Times New Roman" w:hAnsi="Times New Roman" w:cs="David"/>
      <w:noProof/>
      <w:sz w:val="24"/>
      <w:szCs w:val="24"/>
    </w:rPr>
  </w:style>
  <w:style w:type="paragraph" w:customStyle="1" w:styleId="A6540CE8329D4DE58C70B9196265DB4E">
    <w:name w:val="A6540CE8329D4DE58C70B9196265DB4E"/>
    <w:rsid w:val="00E322D3"/>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26B1C2BEB7F2402F8D6BC5936C0B8012">
    <w:name w:val="26B1C2BEB7F2402F8D6BC5936C0B8012"/>
    <w:rsid w:val="00E322D3"/>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8F03C07409554598B0D8541014BA5B47">
    <w:name w:val="8F03C07409554598B0D8541014BA5B47"/>
    <w:rsid w:val="00E322D3"/>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67069E"/>
    <w:pPr>
      <w:bidi/>
      <w:spacing w:after="0" w:line="240" w:lineRule="auto"/>
    </w:pPr>
    <w:rPr>
      <w:rFonts w:ascii="Times New Roman" w:eastAsia="Times New Roman" w:hAnsi="Times New Roman" w:cs="David"/>
      <w:noProof/>
      <w:sz w:val="24"/>
      <w:szCs w:val="24"/>
    </w:rPr>
  </w:style>
  <w:style w:type="paragraph" w:customStyle="1" w:styleId="75B980CFE2104A8ABB3A2462472FCFC41">
    <w:name w:val="75B980CFE2104A8ABB3A2462472FCFC41"/>
    <w:rsid w:val="0067069E"/>
    <w:pPr>
      <w:bidi/>
      <w:spacing w:after="0" w:line="240" w:lineRule="auto"/>
    </w:pPr>
    <w:rPr>
      <w:rFonts w:ascii="Times New Roman" w:eastAsia="Times New Roman" w:hAnsi="Times New Roman" w:cs="David"/>
      <w:noProof/>
      <w:sz w:val="24"/>
      <w:szCs w:val="24"/>
    </w:rPr>
  </w:style>
  <w:style w:type="paragraph" w:customStyle="1" w:styleId="A6540CE8329D4DE58C70B9196265DB4E1">
    <w:name w:val="A6540CE8329D4DE58C70B9196265DB4E1"/>
    <w:rsid w:val="0067069E"/>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26B1C2BEB7F2402F8D6BC5936C0B80121">
    <w:name w:val="26B1C2BEB7F2402F8D6BC5936C0B80121"/>
    <w:rsid w:val="0067069E"/>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8F03C07409554598B0D8541014BA5B471">
    <w:name w:val="8F03C07409554598B0D8541014BA5B471"/>
    <w:rsid w:val="0067069E"/>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A43350"/>
    <w:pPr>
      <w:bidi/>
      <w:spacing w:after="0" w:line="240" w:lineRule="auto"/>
    </w:pPr>
    <w:rPr>
      <w:rFonts w:ascii="Times New Roman" w:eastAsia="Times New Roman" w:hAnsi="Times New Roman" w:cs="David"/>
      <w:noProof/>
      <w:sz w:val="24"/>
      <w:szCs w:val="24"/>
    </w:rPr>
  </w:style>
  <w:style w:type="paragraph" w:customStyle="1" w:styleId="75B980CFE2104A8ABB3A2462472FCFC42">
    <w:name w:val="75B980CFE2104A8ABB3A2462472FCFC42"/>
    <w:rsid w:val="00A43350"/>
    <w:pPr>
      <w:bidi/>
      <w:spacing w:after="0" w:line="240" w:lineRule="auto"/>
    </w:pPr>
    <w:rPr>
      <w:rFonts w:ascii="Times New Roman" w:eastAsia="Times New Roman" w:hAnsi="Times New Roman" w:cs="David"/>
      <w:noProof/>
      <w:sz w:val="24"/>
      <w:szCs w:val="24"/>
    </w:rPr>
  </w:style>
  <w:style w:type="paragraph" w:customStyle="1" w:styleId="A6540CE8329D4DE58C70B9196265DB4E2">
    <w:name w:val="A6540CE8329D4DE58C70B9196265DB4E2"/>
    <w:rsid w:val="00A43350"/>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26B1C2BEB7F2402F8D6BC5936C0B80122">
    <w:name w:val="26B1C2BEB7F2402F8D6BC5936C0B80122"/>
    <w:rsid w:val="00A43350"/>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8F03C07409554598B0D8541014BA5B472">
    <w:name w:val="8F03C07409554598B0D8541014BA5B472"/>
    <w:rsid w:val="00A43350"/>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0613F2"/>
    <w:pPr>
      <w:bidi/>
      <w:spacing w:after="0" w:line="240" w:lineRule="auto"/>
    </w:pPr>
    <w:rPr>
      <w:rFonts w:ascii="Times New Roman" w:eastAsia="Times New Roman" w:hAnsi="Times New Roman" w:cs="David"/>
      <w:noProof/>
      <w:sz w:val="24"/>
      <w:szCs w:val="24"/>
    </w:rPr>
  </w:style>
  <w:style w:type="paragraph" w:customStyle="1" w:styleId="75B980CFE2104A8ABB3A2462472FCFC43">
    <w:name w:val="75B980CFE2104A8ABB3A2462472FCFC43"/>
    <w:rsid w:val="000613F2"/>
    <w:pPr>
      <w:bidi/>
      <w:spacing w:after="0" w:line="240" w:lineRule="auto"/>
    </w:pPr>
    <w:rPr>
      <w:rFonts w:ascii="Times New Roman" w:eastAsia="Times New Roman" w:hAnsi="Times New Roman" w:cs="David"/>
      <w:noProof/>
      <w:sz w:val="24"/>
      <w:szCs w:val="24"/>
    </w:rPr>
  </w:style>
  <w:style w:type="paragraph" w:customStyle="1" w:styleId="A6540CE8329D4DE58C70B9196265DB4E3">
    <w:name w:val="A6540CE8329D4DE58C70B9196265DB4E3"/>
    <w:rsid w:val="000613F2"/>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26B1C2BEB7F2402F8D6BC5936C0B80123">
    <w:name w:val="26B1C2BEB7F2402F8D6BC5936C0B80123"/>
    <w:rsid w:val="000613F2"/>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8F03C07409554598B0D8541014BA5B473">
    <w:name w:val="8F03C07409554598B0D8541014BA5B473"/>
    <w:rsid w:val="000613F2"/>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613F2"/>
    <w:pPr>
      <w:bidi/>
      <w:spacing w:after="0" w:line="240" w:lineRule="auto"/>
    </w:pPr>
    <w:rPr>
      <w:rFonts w:ascii="Times New Roman" w:eastAsia="Times New Roman" w:hAnsi="Times New Roman" w:cs="David"/>
      <w:noProof/>
      <w:sz w:val="24"/>
      <w:szCs w:val="24"/>
    </w:rPr>
  </w:style>
  <w:style w:type="paragraph" w:customStyle="1" w:styleId="75B980CFE2104A8ABB3A2462472FCFC44">
    <w:name w:val="75B980CFE2104A8ABB3A2462472FCFC44"/>
    <w:rsid w:val="000613F2"/>
    <w:pPr>
      <w:bidi/>
      <w:spacing w:after="0" w:line="240" w:lineRule="auto"/>
    </w:pPr>
    <w:rPr>
      <w:rFonts w:ascii="Times New Roman" w:eastAsia="Times New Roman" w:hAnsi="Times New Roman" w:cs="David"/>
      <w:noProof/>
      <w:sz w:val="24"/>
      <w:szCs w:val="24"/>
    </w:rPr>
  </w:style>
  <w:style w:type="paragraph" w:customStyle="1" w:styleId="A6540CE8329D4DE58C70B9196265DB4E4">
    <w:name w:val="A6540CE8329D4DE58C70B9196265DB4E4"/>
    <w:rsid w:val="000613F2"/>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26B1C2BEB7F2402F8D6BC5936C0B80124">
    <w:name w:val="26B1C2BEB7F2402F8D6BC5936C0B80124"/>
    <w:rsid w:val="000613F2"/>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8F03C07409554598B0D8541014BA5B474">
    <w:name w:val="8F03C07409554598B0D8541014BA5B474"/>
    <w:rsid w:val="000613F2"/>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4D0C0C"/>
    <w:pPr>
      <w:bidi/>
      <w:spacing w:after="0" w:line="240" w:lineRule="auto"/>
    </w:pPr>
    <w:rPr>
      <w:rFonts w:ascii="Times New Roman" w:eastAsia="Times New Roman" w:hAnsi="Times New Roman" w:cs="David"/>
      <w:noProof/>
      <w:sz w:val="24"/>
      <w:szCs w:val="24"/>
    </w:rPr>
  </w:style>
  <w:style w:type="paragraph" w:customStyle="1" w:styleId="75B980CFE2104A8ABB3A2462472FCFC45">
    <w:name w:val="75B980CFE2104A8ABB3A2462472FCFC45"/>
    <w:rsid w:val="004D0C0C"/>
    <w:pPr>
      <w:bidi/>
      <w:spacing w:after="0" w:line="240" w:lineRule="auto"/>
    </w:pPr>
    <w:rPr>
      <w:rFonts w:ascii="Times New Roman" w:eastAsia="Times New Roman" w:hAnsi="Times New Roman" w:cs="David"/>
      <w:noProof/>
      <w:sz w:val="24"/>
      <w:szCs w:val="24"/>
    </w:rPr>
  </w:style>
  <w:style w:type="paragraph" w:customStyle="1" w:styleId="A6540CE8329D4DE58C70B9196265DB4E5">
    <w:name w:val="A6540CE8329D4DE58C70B9196265DB4E5"/>
    <w:rsid w:val="004D0C0C"/>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26B1C2BEB7F2402F8D6BC5936C0B80125">
    <w:name w:val="26B1C2BEB7F2402F8D6BC5936C0B80125"/>
    <w:rsid w:val="004D0C0C"/>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8F03C07409554598B0D8541014BA5B475">
    <w:name w:val="8F03C07409554598B0D8541014BA5B475"/>
    <w:rsid w:val="004D0C0C"/>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E3259"/>
    <w:pPr>
      <w:bidi/>
      <w:spacing w:after="0" w:line="240" w:lineRule="auto"/>
    </w:pPr>
    <w:rPr>
      <w:rFonts w:ascii="Times New Roman" w:eastAsia="Times New Roman" w:hAnsi="Times New Roman" w:cs="David"/>
      <w:noProof/>
      <w:sz w:val="24"/>
      <w:szCs w:val="24"/>
    </w:rPr>
  </w:style>
  <w:style w:type="paragraph" w:customStyle="1" w:styleId="C734EA5DE26D4BF193615B5B6D4EC0F1">
    <w:name w:val="C734EA5DE26D4BF193615B5B6D4EC0F1"/>
    <w:rsid w:val="000E3259"/>
    <w:pPr>
      <w:bidi/>
      <w:spacing w:after="0" w:line="240" w:lineRule="auto"/>
    </w:pPr>
    <w:rPr>
      <w:rFonts w:ascii="Times New Roman" w:eastAsia="Times New Roman" w:hAnsi="Times New Roman" w:cs="David"/>
      <w:noProof/>
      <w:sz w:val="24"/>
      <w:szCs w:val="24"/>
    </w:rPr>
  </w:style>
  <w:style w:type="paragraph" w:customStyle="1" w:styleId="A6540CE8329D4DE58C70B9196265DB4E6">
    <w:name w:val="A6540CE8329D4DE58C70B9196265DB4E6"/>
    <w:rsid w:val="000E3259"/>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26B1C2BEB7F2402F8D6BC5936C0B80126">
    <w:name w:val="26B1C2BEB7F2402F8D6BC5936C0B80126"/>
    <w:rsid w:val="000E3259"/>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8F03C07409554598B0D8541014BA5B476">
    <w:name w:val="8F03C07409554598B0D8541014BA5B476"/>
    <w:rsid w:val="000E3259"/>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92F30"/>
    <w:pPr>
      <w:bidi/>
      <w:spacing w:after="0" w:line="240" w:lineRule="auto"/>
    </w:pPr>
    <w:rPr>
      <w:rFonts w:ascii="Times New Roman" w:eastAsia="Times New Roman" w:hAnsi="Times New Roman" w:cs="David"/>
      <w:noProof/>
      <w:sz w:val="24"/>
      <w:szCs w:val="24"/>
    </w:rPr>
  </w:style>
  <w:style w:type="paragraph" w:customStyle="1" w:styleId="A6540CE8329D4DE58C70B9196265DB4E7">
    <w:name w:val="A6540CE8329D4DE58C70B9196265DB4E7"/>
    <w:rsid w:val="00D92F30"/>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26B1C2BEB7F2402F8D6BC5936C0B80127">
    <w:name w:val="26B1C2BEB7F2402F8D6BC5936C0B80127"/>
    <w:rsid w:val="00D92F30"/>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8F03C07409554598B0D8541014BA5B477">
    <w:name w:val="8F03C07409554598B0D8541014BA5B477"/>
    <w:rsid w:val="00D92F30"/>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FE551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80017917</CaseID>
    <CaseJudicialPersonPresentationDS>
      <CaseJudicalPersonActive>
        <CaseID>80017917</CaseID>
        <JudicialPersonID>054303474@GOV.IL</JudicialPersonID>
        <JudicialPersonTypeID>1</JudicialPersonTypeID>
        <JudicialTypeID>3</JudicialTypeID>
        <IsChairman>true</IsChairman>
        <TreatmentStartDate>2023-04-24T12:09:28.053+03:00</TreatmentStartDate>
        <TreatmentFinishDate>9999-12-31T23:59:59.997+02:00</TreatmentFinishDate>
        <IdentificationCardNumber>054303474</IdentificationCardNumber>
        <DisplayName>רויטל יפה כץ</DisplayName>
        <JudicialTypeName>הרכב שופטים</JudicialTypeName>
        <CaseJudicialGroupNumber>537109</CaseJudicialGroupNumber>
        <FirstName>רויטל</FirstName>
        <LastName>יפה כץ</LastName>
        <JudicialPersonTitle>שופט</JudicialPersonTitle>
      </CaseJudicalPersonActive>
      <CaseJudicalPersonActive>
        <CaseID>80017917</CaseID>
        <JudicialPersonID>038682266@GOV.IL</JudicialPersonID>
        <JudicialPersonTypeID>1</JudicialPersonTypeID>
        <JudicialTypeID>3</JudicialTypeID>
        <IsChairman>false</IsChairman>
        <TreatmentStartDate>2023-04-24T12:09:28.053+03:00</TreatmentStartDate>
        <TreatmentFinishDate>9999-12-31T23:59:59.997+02:00</TreatmentFinishDate>
        <IdentificationCardNumber>038682266</IdentificationCardNumber>
        <DisplayName>יובל ליבדרו</DisplayName>
        <JudicialTypeName>הרכב שופטים</JudicialTypeName>
        <CaseJudicialGroupNumber>537109</CaseJudicialGroupNumber>
        <FirstName>יובל</FirstName>
        <LastName>ליבדרו</LastName>
        <JudicialPersonTitle>שופט</JudicialPersonTitle>
      </CaseJudicalPersonActive>
      <CaseJudicalPersonActive>
        <CaseID>80017917</CaseID>
        <JudicialPersonID>023592660@GOV.IL</JudicialPersonID>
        <JudicialPersonTypeID>1</JudicialPersonTypeID>
        <JudicialTypeID>3</JudicialTypeID>
        <IsChairman>false</IsChairman>
        <TreatmentStartDate>2023-04-24T12:09:28.053+03:00</TreatmentStartDate>
        <TreatmentFinishDate>9999-12-31T23:59:59.997+02:00</TreatmentFinishDate>
        <IdentificationCardNumber>023592660</IdentificationCardNumber>
        <DisplayName>גיל דניאל</DisplayName>
        <JudicialTypeName>הרכב שופטים</JudicialTypeName>
        <CaseJudicialGroupNumber>537109</CaseJudicialGroupNumber>
        <FirstName>גיל</FirstName>
        <LastName>דניאל</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80017917</CaseID>
        <CaseJudicialPersonPresentationDS>
          <CaseJudicalPersonActive>
            <CaseID>80017917</CaseID>
            <JudicialPersonID>054303474@GOV.IL</JudicialPersonID>
            <JudicialPersonTypeID>1</JudicialPersonTypeID>
            <JudicialTypeID>3</JudicialTypeID>
            <IsChairman>true</IsChairman>
            <TreatmentStartDate>2023-04-24T12:09:28.053+03:00</TreatmentStartDate>
            <TreatmentFinishDate>9999-12-31T23:59:59.997+02:00</TreatmentFinishDate>
            <IdentificationCardNumber>054303474</IdentificationCardNumber>
            <DisplayName>רויטל יפה כץ</DisplayName>
            <JudicialTypeName>הרכב שופטים</JudicialTypeName>
            <CaseJudicialGroupNumber>537109</CaseJudicialGroupNumber>
            <FirstName>רויטל</FirstName>
            <LastName>יפה כץ</LastName>
            <JudicialPersonTitle>שופט</JudicialPersonTitle>
          </CaseJudicalPersonActive>
          <CaseJudicalPersonActive>
            <CaseID>80017917</CaseID>
            <JudicialPersonID>038682266@GOV.IL</JudicialPersonID>
            <JudicialPersonTypeID>1</JudicialPersonTypeID>
            <JudicialTypeID>3</JudicialTypeID>
            <IsChairman>false</IsChairman>
            <TreatmentStartDate>2023-04-24T12:09:28.053+03:00</TreatmentStartDate>
            <TreatmentFinishDate>9999-12-31T23:59:59.997+02:00</TreatmentFinishDate>
            <IdentificationCardNumber>038682266</IdentificationCardNumber>
            <DisplayName>יובל ליבדרו</DisplayName>
            <JudicialTypeName>הרכב שופטים</JudicialTypeName>
            <CaseJudicialGroupNumber>537109</CaseJudicialGroupNumber>
            <FirstName>יובל</FirstName>
            <LastName>ליבדרו</LastName>
            <JudicialPersonTitle>שופט</JudicialPersonTitle>
          </CaseJudicalPersonActive>
          <CaseJudicalPersonActive>
            <CaseID>80017917</CaseID>
            <JudicialPersonID>023592660@GOV.IL</JudicialPersonID>
            <JudicialPersonTypeID>1</JudicialPersonTypeID>
            <JudicialTypeID>3</JudicialTypeID>
            <IsChairman>false</IsChairman>
            <TreatmentStartDate>2023-04-24T12:09:28.053+03:00</TreatmentStartDate>
            <TreatmentFinishDate>9999-12-31T23:59:59.997+02:00</TreatmentFinishDate>
            <IdentificationCardNumber>023592660</IdentificationCardNumber>
            <DisplayName>גיל דניאל</DisplayName>
            <JudicialTypeName>הרכב שופטים</JudicialTypeName>
            <CaseJudicialGroupNumber>537109</CaseJudicialGroupNumber>
            <FirstName>גיל</FirstName>
            <LastName>דניאל</LastName>
            <JudicialPersonTitle>שופט</JudicialPersonTitle>
          </CaseJudicalPersonActive>
        </CaseJudicialPersonPresentationDS>
        <CasePartyID>252561209</CasePartyID>
        <PartyTypeID>3</PartyTypeID>
        <ActivityStatusID>1</ActivityStatusID>
        <LegalEntityID>2116670</LegalEntityID>
        <CaseLegalEntityID>123387249</CaseLegalEntityID>
        <AssistantRoleID>14</AssistantRoleID>
        <AuthenticationTypeID>13</AuthenticationTypeID>
        <AuthenticationTypeName>משרדי ממשלה</AuthenticationTypeName>
        <LegalEntityNumber>500106271</LegalEntityNumber>
        <IsMainPartyType>true</IsMainPartyType>
        <CaseDisplayIdentifier>41733-02-23</CaseDisplayIdentifier>
        <CaseTypeID>10079</CaseTypeID>
        <CaseTypeName>ערעור פלילי גזר דין (עפ"ג)</CaseTypeName>
        <CaseName>מדינת ישראל נ' אבו גאמע</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6</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80017917</CaseID>
        <CaseJudicialPersonPresentationDS>
          <CaseJudicalPersonActive>
            <CaseID>80017917</CaseID>
            <JudicialPersonID>054303474@GOV.IL</JudicialPersonID>
            <JudicialPersonTypeID>1</JudicialPersonTypeID>
            <JudicialTypeID>3</JudicialTypeID>
            <IsChairman>true</IsChairman>
            <TreatmentStartDate>2023-04-24T12:09:28.053+03:00</TreatmentStartDate>
            <TreatmentFinishDate>9999-12-31T23:59:59.997+02:00</TreatmentFinishDate>
            <IdentificationCardNumber>054303474</IdentificationCardNumber>
            <DisplayName>רויטל יפה כץ</DisplayName>
            <JudicialTypeName>הרכב שופטים</JudicialTypeName>
            <CaseJudicialGroupNumber>537109</CaseJudicialGroupNumber>
            <FirstName>רויטל</FirstName>
            <LastName>יפה כץ</LastName>
            <JudicialPersonTitle>שופט</JudicialPersonTitle>
          </CaseJudicalPersonActive>
          <CaseJudicalPersonActive>
            <CaseID>80017917</CaseID>
            <JudicialPersonID>038682266@GOV.IL</JudicialPersonID>
            <JudicialPersonTypeID>1</JudicialPersonTypeID>
            <JudicialTypeID>3</JudicialTypeID>
            <IsChairman>false</IsChairman>
            <TreatmentStartDate>2023-04-24T12:09:28.053+03:00</TreatmentStartDate>
            <TreatmentFinishDate>9999-12-31T23:59:59.997+02:00</TreatmentFinishDate>
            <IdentificationCardNumber>038682266</IdentificationCardNumber>
            <DisplayName>יובל ליבדרו</DisplayName>
            <JudicialTypeName>הרכב שופטים</JudicialTypeName>
            <CaseJudicialGroupNumber>537109</CaseJudicialGroupNumber>
            <FirstName>יובל</FirstName>
            <LastName>ליבדרו</LastName>
            <JudicialPersonTitle>שופט</JudicialPersonTitle>
          </CaseJudicalPersonActive>
          <CaseJudicalPersonActive>
            <CaseID>80017917</CaseID>
            <JudicialPersonID>023592660@GOV.IL</JudicialPersonID>
            <JudicialPersonTypeID>1</JudicialPersonTypeID>
            <JudicialTypeID>3</JudicialTypeID>
            <IsChairman>false</IsChairman>
            <TreatmentStartDate>2023-04-24T12:09:28.053+03:00</TreatmentStartDate>
            <TreatmentFinishDate>9999-12-31T23:59:59.997+02:00</TreatmentFinishDate>
            <IdentificationCardNumber>023592660</IdentificationCardNumber>
            <DisplayName>גיל דניאל</DisplayName>
            <JudicialTypeName>הרכב שופטים</JudicialTypeName>
            <CaseJudicialGroupNumber>537109</CaseJudicialGroupNumber>
            <FirstName>גיל</FirstName>
            <LastName>דניאל</LastName>
            <JudicialPersonTitle>שופט</JudicialPersonTitle>
          </CaseJudicalPersonActive>
        </CaseJudicialPersonPresentationDS>
        <CasePartyID>252126908</CasePartyID>
        <PartyTypeID>2</PartyTypeID>
        <ActivityStatusID>1</ActivityStatusID>
        <PartyAliasID>24</PartyAliasID>
        <PartyAliasName>בא כוח מערערים</PartyAliasName>
        <OrdinalNumber>1</OrdinalNumber>
        <LegalEntityID>404183</LegalEntityID>
        <CaseLegalEntityID>123252484</CaseLegalEntityID>
        <AuthenticationTypeID>4</AuthenticationTypeID>
        <AuthenticationTypeName>מ.ר.</AuthenticationTypeName>
        <LegalEntityNumber>27974</LegalEntityNumber>
        <IsMainPartyType>true</IsMainPartyType>
        <CaseDisplayIdentifier>41733-02-23</CaseDisplayIdentifier>
        <CaseTypeID>10079</CaseTypeID>
        <CaseTypeName>ערעור פלילי גזר דין (עפ"ג)</CaseTypeName>
        <CaseName>מדינת ישראל נ' אבו גאמע</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6</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צד</PartyTypeName>
        <ProceedingType>כתב טענות עיקרי</ProceedingType>
        <PleaName>הודעת ערעור</PleaName>
        <PartyBelonging>צד א'</PartyBelonging>
        <RoleName>מערער 1 - מאשימה</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80017917</CaseID>
        <CaseJudicialPersonPresentationDS>
          <CaseJudicalPersonActive>
            <CaseID>80017917</CaseID>
            <JudicialPersonID>054303474@GOV.IL</JudicialPersonID>
            <JudicialPersonTypeID>1</JudicialPersonTypeID>
            <JudicialTypeID>3</JudicialTypeID>
            <IsChairman>true</IsChairman>
            <TreatmentStartDate>2023-04-24T12:09:28.053+03:00</TreatmentStartDate>
            <TreatmentFinishDate>9999-12-31T23:59:59.997+02:00</TreatmentFinishDate>
            <IdentificationCardNumber>054303474</IdentificationCardNumber>
            <DisplayName>רויטל יפה כץ</DisplayName>
            <JudicialTypeName>הרכב שופטים</JudicialTypeName>
            <CaseJudicialGroupNumber>537109</CaseJudicialGroupNumber>
            <FirstName>רויטל</FirstName>
            <LastName>יפה כץ</LastName>
            <JudicialPersonTitle>שופט</JudicialPersonTitle>
          </CaseJudicalPersonActive>
          <CaseJudicalPersonActive>
            <CaseID>80017917</CaseID>
            <JudicialPersonID>038682266@GOV.IL</JudicialPersonID>
            <JudicialPersonTypeID>1</JudicialPersonTypeID>
            <JudicialTypeID>3</JudicialTypeID>
            <IsChairman>false</IsChairman>
            <TreatmentStartDate>2023-04-24T12:09:28.053+03:00</TreatmentStartDate>
            <TreatmentFinishDate>9999-12-31T23:59:59.997+02:00</TreatmentFinishDate>
            <IdentificationCardNumber>038682266</IdentificationCardNumber>
            <DisplayName>יובל ליבדרו</DisplayName>
            <JudicialTypeName>הרכב שופטים</JudicialTypeName>
            <CaseJudicialGroupNumber>537109</CaseJudicialGroupNumber>
            <FirstName>יובל</FirstName>
            <LastName>ליבדרו</LastName>
            <JudicialPersonTitle>שופט</JudicialPersonTitle>
          </CaseJudicalPersonActive>
          <CaseJudicalPersonActive>
            <CaseID>80017917</CaseID>
            <JudicialPersonID>023592660@GOV.IL</JudicialPersonID>
            <JudicialPersonTypeID>1</JudicialPersonTypeID>
            <JudicialTypeID>3</JudicialTypeID>
            <IsChairman>false</IsChairman>
            <TreatmentStartDate>2023-04-24T12:09:28.053+03:00</TreatmentStartDate>
            <TreatmentFinishDate>9999-12-31T23:59:59.997+02:00</TreatmentFinishDate>
            <IdentificationCardNumber>023592660</IdentificationCardNumber>
            <DisplayName>גיל דניאל</DisplayName>
            <JudicialTypeName>הרכב שופטים</JudicialTypeName>
            <CaseJudicialGroupNumber>537109</CaseJudicialGroupNumber>
            <FirstName>גיל</FirstName>
            <LastName>דניאל</LastName>
            <JudicialPersonTitle>שופט</JudicialPersonTitle>
          </CaseJudicalPersonActive>
        </CaseJudicialPersonPresentationDS>
        <CasePartyID>252126906</CasePartyID>
        <PartyTypeID>1</PartyTypeID>
        <ActivityStatusID>1</ActivityStatusID>
        <PartyAliasID>5</PartyAliasID>
        <PartyAliasName>מערער</PartyAliasName>
        <OrdinalNumber>1</OrdinalNumber>
        <LegalEntityID>4</LegalEntityID>
        <CaseLegalEntityID>123252482</CaseLegalEntityID>
        <AuthenticationTypeID>41</AuthenticationTypeID>
        <AuthenticationTypeName>מדינת ישראל </AuthenticationTypeName>
        <LegalEntityNumber/>
        <IsMainPartyType>true</IsMainPartyType>
        <CaseDisplayIdentifier>41733-02-23</CaseDisplayIdentifier>
        <CaseTypeID>10079</CaseTypeID>
        <CaseTypeName>ערעור פלילי גזר דין (עפ"ג)</CaseTypeName>
        <CaseName>מדינת ישראל נ' אבו גאמע</CaseName>
        <FullAddress/>
        <MotionID>0</MotionID>
        <CasePleaID>0</CasePleaID>
        <LinkedCaseID>0</LinkedCaseID>
        <PartyID>1</PartyID>
        <CasePartyCategoryID>2</CasePartyCategoryID>
        <PleaTypeID>6</PleaTypeID>
        <GroupPartyAlias>מערערים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הודעת ערעור</PleaName>
        <PartyBelonging>צד ב'</PartyBelonging>
        <RoleName>משיב 1 - נאשם</RoleName>
        <IsSubProceeding>FALSE</IsSubProceeding>
        <FullName>עבד בן עבד אבו גאמע</FullName>
        <FirstName>עבד אל מונעם</FirstName>
        <LastName>אבו גאמע</LastName>
        <PartyPropertyName/>
        <AuthenticationTypeAndNumber>ת"ז 056872047</AuthenticationTypeAndNumber>
        <RepresentatedOrRepresentativesNames>חן אביטן</RepresentatedOrRepresentativesNames>
        <RepresentatedOrRepresentativesCount>1</RepresentatedOrRepresentativesCount>
        <InvitedBy/>
        <CaseID>80017917</CaseID>
        <CaseJudicialPersonPresentationDS>
          <CaseJudicalPersonActive>
            <CaseID>80017917</CaseID>
            <JudicialPersonID>054303474@GOV.IL</JudicialPersonID>
            <JudicialPersonTypeID>1</JudicialPersonTypeID>
            <JudicialTypeID>3</JudicialTypeID>
            <IsChairman>true</IsChairman>
            <TreatmentStartDate>2023-04-24T12:09:28.053+03:00</TreatmentStartDate>
            <TreatmentFinishDate>9999-12-31T23:59:59.997+02:00</TreatmentFinishDate>
            <IdentificationCardNumber>054303474</IdentificationCardNumber>
            <DisplayName>רויטל יפה כץ</DisplayName>
            <JudicialTypeName>הרכב שופטים</JudicialTypeName>
            <CaseJudicialGroupNumber>537109</CaseJudicialGroupNumber>
            <FirstName>רויטל</FirstName>
            <LastName>יפה כץ</LastName>
            <JudicialPersonTitle>שופט</JudicialPersonTitle>
          </CaseJudicalPersonActive>
          <CaseJudicalPersonActive>
            <CaseID>80017917</CaseID>
            <JudicialPersonID>038682266@GOV.IL</JudicialPersonID>
            <JudicialPersonTypeID>1</JudicialPersonTypeID>
            <JudicialTypeID>3</JudicialTypeID>
            <IsChairman>false</IsChairman>
            <TreatmentStartDate>2023-04-24T12:09:28.053+03:00</TreatmentStartDate>
            <TreatmentFinishDate>9999-12-31T23:59:59.997+02:00</TreatmentFinishDate>
            <IdentificationCardNumber>038682266</IdentificationCardNumber>
            <DisplayName>יובל ליבדרו</DisplayName>
            <JudicialTypeName>הרכב שופטים</JudicialTypeName>
            <CaseJudicialGroupNumber>537109</CaseJudicialGroupNumber>
            <FirstName>יובל</FirstName>
            <LastName>ליבדרו</LastName>
            <JudicialPersonTitle>שופט</JudicialPersonTitle>
          </CaseJudicalPersonActive>
          <CaseJudicalPersonActive>
            <CaseID>80017917</CaseID>
            <JudicialPersonID>023592660@GOV.IL</JudicialPersonID>
            <JudicialPersonTypeID>1</JudicialPersonTypeID>
            <JudicialTypeID>3</JudicialTypeID>
            <IsChairman>false</IsChairman>
            <TreatmentStartDate>2023-04-24T12:09:28.053+03:00</TreatmentStartDate>
            <TreatmentFinishDate>9999-12-31T23:59:59.997+02:00</TreatmentFinishDate>
            <IdentificationCardNumber>023592660</IdentificationCardNumber>
            <DisplayName>גיל דניאל</DisplayName>
            <JudicialTypeName>הרכב שופטים</JudicialTypeName>
            <CaseJudicialGroupNumber>537109</CaseJudicialGroupNumber>
            <FirstName>גיל</FirstName>
            <LastName>דניאל</LastName>
            <JudicialPersonTitle>שופט</JudicialPersonTitle>
          </CaseJudicalPersonActive>
        </CaseJudicialPersonPresentationDS>
        <CasePartyID>252126907</CasePartyID>
        <PartyTypeID>1</PartyTypeID>
        <ActivityStatusID>1</ActivityStatusID>
        <PartyAliasID>4</PartyAliasID>
        <PartyAliasName>משיב</PartyAliasName>
        <OrdinalNumber>1</OrdinalNumber>
        <LegalEntityID>16654281</LegalEntityID>
        <CaseLegalEntityID>123252483</CaseLegalEntityID>
        <AuthenticationTypeID>1</AuthenticationTypeID>
        <AuthenticationTypeName>ת"ז</AuthenticationTypeName>
        <LegalEntityNumber>056872047</LegalEntityNumber>
        <IsMainPartyType>true</IsMainPartyType>
        <CaseDisplayIdentifier>41733-02-23</CaseDisplayIdentifier>
        <CaseTypeID>10079</CaseTypeID>
        <CaseTypeName>ערעור פלילי גזר דין (עפ"ג)</CaseTypeName>
        <CaseName>מדינת ישראל נ' אבו גאמע</CaseName>
        <FullAddress>שכ' 4 בית 22 ערערה-בנגב </FullAddress>
        <MotionID>0</MotionID>
        <CasePleaID>0</CasePleaID>
        <FatherName>עבד אל רחמאן</FatherName>
        <LinkedCaseID>0</LinkedCaseID>
        <PartyID>2</PartyID>
        <CasePartyCategoryID>2</CasePartyCategoryID>
        <LegalEntityAddressID>83803856</LegalEntityAddressID>
        <PleaTypeID>6</PleaTypeID>
        <GroupPartyAlias>משיבים</GroupPartyAlias>
        <IsConverted>false</IsConverted>
        <LegalEntityRegisteredNameID>3109997</LegalEntityRegisteredNameID>
        <LegalEntityNameID>89464447</LegalEntityNameID>
        <RepresentatedNamesOfAssistant/>
        <LegalEntityTypeID>1</LegalEntityTypeID>
        <IsVerdictExists>false</IsVerdictExists>
        <IsAsirAzir>false</IsAsirAzir>
        <IsPublicationProhibited>false</IsPublicationProhibited>
        <PublicationProhibitedFullName>עבד בן עבד אבו גאמע</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חן אביטן</FullName>
        <FirstName>חן</FirstName>
        <LastName>אביטן</LastName>
        <PartyPropertyName/>
        <AuthenticationTypeAndNumber>מ.ר. 24807</AuthenticationTypeAndNumber>
        <RepresentatedOrRepresentativesNames>עבד בן עבד אבו גאמע</RepresentatedOrRepresentativesNames>
        <RepresentatedOrRepresentativesCount>1</RepresentatedOrRepresentativesCount>
        <InvitedBy/>
        <CaseID>80017917</CaseID>
        <CaseJudicialPersonPresentationDS>
          <CaseJudicalPersonActive>
            <CaseID>80017917</CaseID>
            <JudicialPersonID>054303474@GOV.IL</JudicialPersonID>
            <JudicialPersonTypeID>1</JudicialPersonTypeID>
            <JudicialTypeID>3</JudicialTypeID>
            <IsChairman>true</IsChairman>
            <TreatmentStartDate>2023-04-24T12:09:28.053+03:00</TreatmentStartDate>
            <TreatmentFinishDate>9999-12-31T23:59:59.997+02:00</TreatmentFinishDate>
            <IdentificationCardNumber>054303474</IdentificationCardNumber>
            <DisplayName>רויטל יפה כץ</DisplayName>
            <JudicialTypeName>הרכב שופטים</JudicialTypeName>
            <CaseJudicialGroupNumber>537109</CaseJudicialGroupNumber>
            <FirstName>רויטל</FirstName>
            <LastName>יפה כץ</LastName>
            <JudicialPersonTitle>שופט</JudicialPersonTitle>
          </CaseJudicalPersonActive>
          <CaseJudicalPersonActive>
            <CaseID>80017917</CaseID>
            <JudicialPersonID>038682266@GOV.IL</JudicialPersonID>
            <JudicialPersonTypeID>1</JudicialPersonTypeID>
            <JudicialTypeID>3</JudicialTypeID>
            <IsChairman>false</IsChairman>
            <TreatmentStartDate>2023-04-24T12:09:28.053+03:00</TreatmentStartDate>
            <TreatmentFinishDate>9999-12-31T23:59:59.997+02:00</TreatmentFinishDate>
            <IdentificationCardNumber>038682266</IdentificationCardNumber>
            <DisplayName>יובל ליבדרו</DisplayName>
            <JudicialTypeName>הרכב שופטים</JudicialTypeName>
            <CaseJudicialGroupNumber>537109</CaseJudicialGroupNumber>
            <FirstName>יובל</FirstName>
            <LastName>ליבדרו</LastName>
            <JudicialPersonTitle>שופט</JudicialPersonTitle>
          </CaseJudicalPersonActive>
          <CaseJudicalPersonActive>
            <CaseID>80017917</CaseID>
            <JudicialPersonID>023592660@GOV.IL</JudicialPersonID>
            <JudicialPersonTypeID>1</JudicialPersonTypeID>
            <JudicialTypeID>3</JudicialTypeID>
            <IsChairman>false</IsChairman>
            <TreatmentStartDate>2023-04-24T12:09:28.053+03:00</TreatmentStartDate>
            <TreatmentFinishDate>9999-12-31T23:59:59.997+02:00</TreatmentFinishDate>
            <IdentificationCardNumber>023592660</IdentificationCardNumber>
            <DisplayName>גיל דניאל</DisplayName>
            <JudicialTypeName>הרכב שופטים</JudicialTypeName>
            <CaseJudicialGroupNumber>537109</CaseJudicialGroupNumber>
            <FirstName>גיל</FirstName>
            <LastName>דניאל</LastName>
            <JudicialPersonTitle>שופט</JudicialPersonTitle>
          </CaseJudicalPersonActive>
        </CaseJudicialPersonPresentationDS>
        <CasePartyID>252126909</CasePartyID>
        <PartyTypeID>2</PartyTypeID>
        <ActivityStatusID>1</ActivityStatusID>
        <PartyAliasID>23</PartyAliasID>
        <PartyAliasName>בא כוח משיבים</PartyAliasName>
        <OrdinalNumber>1</OrdinalNumber>
        <LegalEntityID>388938</LegalEntityID>
        <CaseLegalEntityID>123252485</CaseLegalEntityID>
        <AuthenticationTypeID>4</AuthenticationTypeID>
        <AuthenticationTypeName>מ.ר.</AuthenticationTypeName>
        <LegalEntityNumber>24807</LegalEntityNumber>
        <IsMainPartyType>true</IsMainPartyType>
        <CaseDisplayIdentifier>41733-02-23</CaseDisplayIdentifier>
        <CaseTypeID>10079</CaseTypeID>
        <CaseTypeName>ערעור פלילי גזר דין (עפ"ג)</CaseTypeName>
        <CaseName>מדינת ישראל נ' אבו גאמע</CaseName>
        <FullAddress>שד' דוד טוביה 125 באר שבע גראנד קניון קומה 1-</FullAddress>
        <MotionID>0</MotionID>
        <CasePleaID>0</CasePleaID>
        <LinkedCaseID>0</LinkedCaseID>
        <PartyID>2</PartyID>
        <CasePartyCategoryID>2</CasePartyCategoryID>
        <LegalEntityAddressID>79095584</LegalEntityAddressID>
        <PleaTypeID>6</PleaTypeID>
        <LawyerOfficeName>משרד עו"ד: חן אביטן</LawyerOfficeName>
        <LawyerOfficeID>429582</LawyerOfficeID>
        <GroupPartyAlias/>
        <IsConverted>false</IsConverted>
        <LegalEntityNameID>9922</LegalEntityNameID>
        <RepresentatedNamesOfAssistant/>
        <LegalEntityTypeID>4</LegalEntityTypeID>
        <IsVerdictExists>false</IsVerdictExists>
        <IsAsirAzir>false</IsAsirAzir>
        <IsPublicationProhibited>false</IsPublicationProhibited>
        <PublicationProhibitedFullName>חן אביטן</PublicationProhibitedFullName>
      </CaseParties>
    </CasePartiesSelectionDS>
    <DecisionName>פסק דין  שניתנה ע"י  רויטל יפה כץ</DecisionName>
    <CourtDisplayName>בית המשפט המחוזי בבאר שבע</CourtDisplayName>
    <IsCaseJudgePanel>true</IsCaseJudgePanel>
    <DecisionSignatureDate>2023-07-26T17:23:12.2772983+03:00</DecisionSignatureDate>
    <OpenCaseDate>2023-02-19T08:57:00+02:00</OpenCaseDate>
    <ExternalCaseNumber>114701/2020</ExternalCaseNumber>
    <DecisionTypeID>2</DecisionTypeID>
    <DecisionSignatureUserName>רויטל יפה כץ</DecisionSignatureUserName>
    <DecisionSignatureDateHebrew>2023-07-26T17:23:12.2772983+03:00</DecisionSignatureDateHebrew>
    <DecisionWriterID>054303474@GOV.IL</DecisionWriterID>
    <CourtAddress>רח' התקווה 5 היכל המשפט, באר שבע 84102</CourtAddress>
    <IsAutoTextInCaseExist>false</IsAutoTextInCaseExist>
    <DecisionSignatureRoleName>שופט</DecisionSignatureRoleName>
    <DecisionSignatureUserTitleName>נשיאה</DecisionSignatureUserTitleName>
    <CaseName>מדינת ישראל נ' אבו גאמע</CaseName>
    <DecisionNumberInCase>6</DecisionNumberInCase>
  </dt_Decision>
  <dt_DecisionCase>
    <DecisionID>0</DecisionID>
    <CaseID>80017917</CaseID>
    <CaseJudicialPersonPresentationDS>
      <CaseJudicalPersonActive>
        <CaseID>80017917</CaseID>
        <JudicialPersonID>054303474@GOV.IL</JudicialPersonID>
        <JudicialPersonTypeID>1</JudicialPersonTypeID>
        <JudicialTypeID>3</JudicialTypeID>
        <IsChairman>true</IsChairman>
        <TreatmentStartDate>2023-04-24T12:09:28.053+03:00</TreatmentStartDate>
        <TreatmentFinishDate>9999-12-31T23:59:59.997+02:00</TreatmentFinishDate>
        <IdentificationCardNumber>054303474</IdentificationCardNumber>
        <DisplayName>רויטל יפה כץ</DisplayName>
        <JudicialTypeName>הרכב שופטים</JudicialTypeName>
        <CaseJudicialGroupNumber>537109</CaseJudicialGroupNumber>
        <FirstName>רויטל</FirstName>
        <LastName>יפה כץ</LastName>
        <JudicialPersonTitle>שופט</JudicialPersonTitle>
      </CaseJudicalPersonActive>
      <CaseJudicalPersonActive>
        <CaseID>80017917</CaseID>
        <JudicialPersonID>038682266@GOV.IL</JudicialPersonID>
        <JudicialPersonTypeID>1</JudicialPersonTypeID>
        <JudicialTypeID>3</JudicialTypeID>
        <IsChairman>false</IsChairman>
        <TreatmentStartDate>2023-04-24T12:09:28.053+03:00</TreatmentStartDate>
        <TreatmentFinishDate>9999-12-31T23:59:59.997+02:00</TreatmentFinishDate>
        <IdentificationCardNumber>038682266</IdentificationCardNumber>
        <DisplayName>יובל ליבדרו</DisplayName>
        <JudicialTypeName>הרכב שופטים</JudicialTypeName>
        <CaseJudicialGroupNumber>537109</CaseJudicialGroupNumber>
        <FirstName>יובל</FirstName>
        <LastName>ליבדרו</LastName>
        <JudicialPersonTitle>שופט</JudicialPersonTitle>
      </CaseJudicalPersonActive>
      <CaseJudicalPersonActive>
        <CaseID>80017917</CaseID>
        <JudicialPersonID>023592660@GOV.IL</JudicialPersonID>
        <JudicialPersonTypeID>1</JudicialPersonTypeID>
        <JudicialTypeID>3</JudicialTypeID>
        <IsChairman>false</IsChairman>
        <TreatmentStartDate>2023-04-24T12:09:28.053+03:00</TreatmentStartDate>
        <TreatmentFinishDate>9999-12-31T23:59:59.997+02:00</TreatmentFinishDate>
        <IdentificationCardNumber>023592660</IdentificationCardNumber>
        <DisplayName>גיל דניאל</DisplayName>
        <JudicialTypeName>הרכב שופטים</JudicialTypeName>
        <CaseJudicialGroupNumber>537109</CaseJudicialGroupNumber>
        <FirstName>גיל</FirstName>
        <LastName>דניאל</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80017917</CaseID>
        <CaseJudicialPersonPresentationDS>
          <CaseJudicalPersonActive>
            <CaseID>80017917</CaseID>
            <JudicialPersonID>054303474@GOV.IL</JudicialPersonID>
            <JudicialPersonTypeID>1</JudicialPersonTypeID>
            <JudicialTypeID>3</JudicialTypeID>
            <IsChairman>true</IsChairman>
            <TreatmentStartDate>2023-04-24T12:09:28.053+03:00</TreatmentStartDate>
            <TreatmentFinishDate>9999-12-31T23:59:59.997+02:00</TreatmentFinishDate>
            <IdentificationCardNumber>054303474</IdentificationCardNumber>
            <DisplayName>רויטל יפה כץ</DisplayName>
            <JudicialTypeName>הרכב שופטים</JudicialTypeName>
            <CaseJudicialGroupNumber>537109</CaseJudicialGroupNumber>
            <FirstName>רויטל</FirstName>
            <LastName>יפה כץ</LastName>
            <JudicialPersonTitle>שופט</JudicialPersonTitle>
          </CaseJudicalPersonActive>
          <CaseJudicalPersonActive>
            <CaseID>80017917</CaseID>
            <JudicialPersonID>038682266@GOV.IL</JudicialPersonID>
            <JudicialPersonTypeID>1</JudicialPersonTypeID>
            <JudicialTypeID>3</JudicialTypeID>
            <IsChairman>false</IsChairman>
            <TreatmentStartDate>2023-04-24T12:09:28.053+03:00</TreatmentStartDate>
            <TreatmentFinishDate>9999-12-31T23:59:59.997+02:00</TreatmentFinishDate>
            <IdentificationCardNumber>038682266</IdentificationCardNumber>
            <DisplayName>יובל ליבדרו</DisplayName>
            <JudicialTypeName>הרכב שופטים</JudicialTypeName>
            <CaseJudicialGroupNumber>537109</CaseJudicialGroupNumber>
            <FirstName>יובל</FirstName>
            <LastName>ליבדרו</LastName>
            <JudicialPersonTitle>שופט</JudicialPersonTitle>
          </CaseJudicalPersonActive>
          <CaseJudicalPersonActive>
            <CaseID>80017917</CaseID>
            <JudicialPersonID>023592660@GOV.IL</JudicialPersonID>
            <JudicialPersonTypeID>1</JudicialPersonTypeID>
            <JudicialTypeID>3</JudicialTypeID>
            <IsChairman>false</IsChairman>
            <TreatmentStartDate>2023-04-24T12:09:28.053+03:00</TreatmentStartDate>
            <TreatmentFinishDate>9999-12-31T23:59:59.997+02:00</TreatmentFinishDate>
            <IdentificationCardNumber>023592660</IdentificationCardNumber>
            <DisplayName>גיל דניאל</DisplayName>
            <JudicialTypeName>הרכב שופטים</JudicialTypeName>
            <CaseJudicialGroupNumber>537109</CaseJudicialGroupNumber>
            <FirstName>גיל</FirstName>
            <LastName>דניאל</LastName>
            <JudicialPersonTitle>שופט</JudicialPersonTitle>
          </CaseJudicalPersonActive>
        </CaseJudicialPersonPresentationDS>
        <CasePartyID>252561209</CasePartyID>
        <PartyTypeID>3</PartyTypeID>
        <ActivityStatusID>1</ActivityStatusID>
        <LegalEntityID>2116670</LegalEntityID>
        <CaseLegalEntityID>123387249</CaseLegalEntityID>
        <AssistantRoleID>14</AssistantRoleID>
        <AuthenticationTypeID>13</AuthenticationTypeID>
        <AuthenticationTypeName>משרדי ממשלה</AuthenticationTypeName>
        <LegalEntityNumber>500106271</LegalEntityNumber>
        <IsMainPartyType>true</IsMainPartyType>
        <CaseDisplayIdentifier>41733-02-23</CaseDisplayIdentifier>
        <CaseTypeID>10079</CaseTypeID>
        <CaseTypeName>ערעור פלילי גזר דין (עפ"ג)</CaseTypeName>
        <CaseName>מדינת ישראל נ' אבו גאמע</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6</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80017917</CaseID>
        <CaseJudicialPersonPresentationDS>
          <CaseJudicalPersonActive>
            <CaseID>80017917</CaseID>
            <JudicialPersonID>054303474@GOV.IL</JudicialPersonID>
            <JudicialPersonTypeID>1</JudicialPersonTypeID>
            <JudicialTypeID>3</JudicialTypeID>
            <IsChairman>true</IsChairman>
            <TreatmentStartDate>2023-04-24T12:09:28.053+03:00</TreatmentStartDate>
            <TreatmentFinishDate>9999-12-31T23:59:59.997+02:00</TreatmentFinishDate>
            <IdentificationCardNumber>054303474</IdentificationCardNumber>
            <DisplayName>רויטל יפה כץ</DisplayName>
            <JudicialTypeName>הרכב שופטים</JudicialTypeName>
            <CaseJudicialGroupNumber>537109</CaseJudicialGroupNumber>
            <FirstName>רויטל</FirstName>
            <LastName>יפה כץ</LastName>
            <JudicialPersonTitle>שופט</JudicialPersonTitle>
          </CaseJudicalPersonActive>
          <CaseJudicalPersonActive>
            <CaseID>80017917</CaseID>
            <JudicialPersonID>038682266@GOV.IL</JudicialPersonID>
            <JudicialPersonTypeID>1</JudicialPersonTypeID>
            <JudicialTypeID>3</JudicialTypeID>
            <IsChairman>false</IsChairman>
            <TreatmentStartDate>2023-04-24T12:09:28.053+03:00</TreatmentStartDate>
            <TreatmentFinishDate>9999-12-31T23:59:59.997+02:00</TreatmentFinishDate>
            <IdentificationCardNumber>038682266</IdentificationCardNumber>
            <DisplayName>יובל ליבדרו</DisplayName>
            <JudicialTypeName>הרכב שופטים</JudicialTypeName>
            <CaseJudicialGroupNumber>537109</CaseJudicialGroupNumber>
            <FirstName>יובל</FirstName>
            <LastName>ליבדרו</LastName>
            <JudicialPersonTitle>שופט</JudicialPersonTitle>
          </CaseJudicalPersonActive>
          <CaseJudicalPersonActive>
            <CaseID>80017917</CaseID>
            <JudicialPersonID>023592660@GOV.IL</JudicialPersonID>
            <JudicialPersonTypeID>1</JudicialPersonTypeID>
            <JudicialTypeID>3</JudicialTypeID>
            <IsChairman>false</IsChairman>
            <TreatmentStartDate>2023-04-24T12:09:28.053+03:00</TreatmentStartDate>
            <TreatmentFinishDate>9999-12-31T23:59:59.997+02:00</TreatmentFinishDate>
            <IdentificationCardNumber>023592660</IdentificationCardNumber>
            <DisplayName>גיל דניאל</DisplayName>
            <JudicialTypeName>הרכב שופטים</JudicialTypeName>
            <CaseJudicialGroupNumber>537109</CaseJudicialGroupNumber>
            <FirstName>גיל</FirstName>
            <LastName>דניאל</LastName>
            <JudicialPersonTitle>שופט</JudicialPersonTitle>
          </CaseJudicalPersonActive>
        </CaseJudicialPersonPresentationDS>
        <CasePartyID>252126908</CasePartyID>
        <PartyTypeID>2</PartyTypeID>
        <ActivityStatusID>1</ActivityStatusID>
        <PartyAliasID>24</PartyAliasID>
        <PartyAliasName>בא כוח מערערים</PartyAliasName>
        <OrdinalNumber>1</OrdinalNumber>
        <LegalEntityID>404183</LegalEntityID>
        <CaseLegalEntityID>123252484</CaseLegalEntityID>
        <AuthenticationTypeID>4</AuthenticationTypeID>
        <AuthenticationTypeName>מ.ר.</AuthenticationTypeName>
        <LegalEntityNumber>27974</LegalEntityNumber>
        <IsMainPartyType>true</IsMainPartyType>
        <CaseDisplayIdentifier>41733-02-23</CaseDisplayIdentifier>
        <CaseTypeID>10079</CaseTypeID>
        <CaseTypeName>ערעור פלילי גזר דין (עפ"ג)</CaseTypeName>
        <CaseName>מדינת ישראל נ' אבו גאמע</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6</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צד</PartyTypeName>
        <ProceedingType>כתב טענות עיקרי</ProceedingType>
        <PleaName>הודעת ערעור</PleaName>
        <PartyBelonging>צד א'</PartyBelonging>
        <RoleName>מערער 1 - מאשימה</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80017917</CaseID>
        <CaseJudicialPersonPresentationDS>
          <CaseJudicalPersonActive>
            <CaseID>80017917</CaseID>
            <JudicialPersonID>054303474@GOV.IL</JudicialPersonID>
            <JudicialPersonTypeID>1</JudicialPersonTypeID>
            <JudicialTypeID>3</JudicialTypeID>
            <IsChairman>true</IsChairman>
            <TreatmentStartDate>2023-04-24T12:09:28.053+03:00</TreatmentStartDate>
            <TreatmentFinishDate>9999-12-31T23:59:59.997+02:00</TreatmentFinishDate>
            <IdentificationCardNumber>054303474</IdentificationCardNumber>
            <DisplayName>רויטל יפה כץ</DisplayName>
            <JudicialTypeName>הרכב שופטים</JudicialTypeName>
            <CaseJudicialGroupNumber>537109</CaseJudicialGroupNumber>
            <FirstName>רויטל</FirstName>
            <LastName>יפה כץ</LastName>
            <JudicialPersonTitle>שופט</JudicialPersonTitle>
          </CaseJudicalPersonActive>
          <CaseJudicalPersonActive>
            <CaseID>80017917</CaseID>
            <JudicialPersonID>038682266@GOV.IL</JudicialPersonID>
            <JudicialPersonTypeID>1</JudicialPersonTypeID>
            <JudicialTypeID>3</JudicialTypeID>
            <IsChairman>false</IsChairman>
            <TreatmentStartDate>2023-04-24T12:09:28.053+03:00</TreatmentStartDate>
            <TreatmentFinishDate>9999-12-31T23:59:59.997+02:00</TreatmentFinishDate>
            <IdentificationCardNumber>038682266</IdentificationCardNumber>
            <DisplayName>יובל ליבדרו</DisplayName>
            <JudicialTypeName>הרכב שופטים</JudicialTypeName>
            <CaseJudicialGroupNumber>537109</CaseJudicialGroupNumber>
            <FirstName>יובל</FirstName>
            <LastName>ליבדרו</LastName>
            <JudicialPersonTitle>שופט</JudicialPersonTitle>
          </CaseJudicalPersonActive>
          <CaseJudicalPersonActive>
            <CaseID>80017917</CaseID>
            <JudicialPersonID>023592660@GOV.IL</JudicialPersonID>
            <JudicialPersonTypeID>1</JudicialPersonTypeID>
            <JudicialTypeID>3</JudicialTypeID>
            <IsChairman>false</IsChairman>
            <TreatmentStartDate>2023-04-24T12:09:28.053+03:00</TreatmentStartDate>
            <TreatmentFinishDate>9999-12-31T23:59:59.997+02:00</TreatmentFinishDate>
            <IdentificationCardNumber>023592660</IdentificationCardNumber>
            <DisplayName>גיל דניאל</DisplayName>
            <JudicialTypeName>הרכב שופטים</JudicialTypeName>
            <CaseJudicialGroupNumber>537109</CaseJudicialGroupNumber>
            <FirstName>גיל</FirstName>
            <LastName>דניאל</LastName>
            <JudicialPersonTitle>שופט</JudicialPersonTitle>
          </CaseJudicalPersonActive>
        </CaseJudicialPersonPresentationDS>
        <CasePartyID>252126906</CasePartyID>
        <PartyTypeID>1</PartyTypeID>
        <ActivityStatusID>1</ActivityStatusID>
        <PartyAliasID>5</PartyAliasID>
        <PartyAliasName>מערער</PartyAliasName>
        <OrdinalNumber>1</OrdinalNumber>
        <LegalEntityID>4</LegalEntityID>
        <CaseLegalEntityID>123252482</CaseLegalEntityID>
        <AuthenticationTypeID>41</AuthenticationTypeID>
        <AuthenticationTypeName>מדינת ישראל </AuthenticationTypeName>
        <LegalEntityNumber/>
        <IsMainPartyType>true</IsMainPartyType>
        <CaseDisplayIdentifier>41733-02-23</CaseDisplayIdentifier>
        <CaseTypeID>10079</CaseTypeID>
        <CaseTypeName>ערעור פלילי גזר דין (עפ"ג)</CaseTypeName>
        <CaseName>מדינת ישראל נ' אבו גאמע</CaseName>
        <FullAddress/>
        <MotionID>0</MotionID>
        <CasePleaID>0</CasePleaID>
        <LinkedCaseID>0</LinkedCaseID>
        <PartyID>1</PartyID>
        <CasePartyCategoryID>2</CasePartyCategoryID>
        <PleaTypeID>6</PleaTypeID>
        <GroupPartyAlias>מערערים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הודעת ערעור</PleaName>
        <PartyBelonging>צד ב'</PartyBelonging>
        <RoleName>משיב 1 - נאשם</RoleName>
        <IsSubProceeding>FALSE</IsSubProceeding>
        <FullName>עבד בן עבד אבו גאמע</FullName>
        <FirstName>עבד אל מונעם</FirstName>
        <LastName>אבו גאמע</LastName>
        <PartyPropertyName/>
        <AuthenticationTypeAndNumber>ת"ז 056872047</AuthenticationTypeAndNumber>
        <RepresentatedOrRepresentativesNames>חן אביטן</RepresentatedOrRepresentativesNames>
        <RepresentatedOrRepresentativesCount>1</RepresentatedOrRepresentativesCount>
        <InvitedBy/>
        <CaseID>80017917</CaseID>
        <CaseJudicialPersonPresentationDS>
          <CaseJudicalPersonActive>
            <CaseID>80017917</CaseID>
            <JudicialPersonID>054303474@GOV.IL</JudicialPersonID>
            <JudicialPersonTypeID>1</JudicialPersonTypeID>
            <JudicialTypeID>3</JudicialTypeID>
            <IsChairman>true</IsChairman>
            <TreatmentStartDate>2023-04-24T12:09:28.053+03:00</TreatmentStartDate>
            <TreatmentFinishDate>9999-12-31T23:59:59.997+02:00</TreatmentFinishDate>
            <IdentificationCardNumber>054303474</IdentificationCardNumber>
            <DisplayName>רויטל יפה כץ</DisplayName>
            <JudicialTypeName>הרכב שופטים</JudicialTypeName>
            <CaseJudicialGroupNumber>537109</CaseJudicialGroupNumber>
            <FirstName>רויטל</FirstName>
            <LastName>יפה כץ</LastName>
            <JudicialPersonTitle>שופט</JudicialPersonTitle>
          </CaseJudicalPersonActive>
          <CaseJudicalPersonActive>
            <CaseID>80017917</CaseID>
            <JudicialPersonID>038682266@GOV.IL</JudicialPersonID>
            <JudicialPersonTypeID>1</JudicialPersonTypeID>
            <JudicialTypeID>3</JudicialTypeID>
            <IsChairman>false</IsChairman>
            <TreatmentStartDate>2023-04-24T12:09:28.053+03:00</TreatmentStartDate>
            <TreatmentFinishDate>9999-12-31T23:59:59.997+02:00</TreatmentFinishDate>
            <IdentificationCardNumber>038682266</IdentificationCardNumber>
            <DisplayName>יובל ליבדרו</DisplayName>
            <JudicialTypeName>הרכב שופטים</JudicialTypeName>
            <CaseJudicialGroupNumber>537109</CaseJudicialGroupNumber>
            <FirstName>יובל</FirstName>
            <LastName>ליבדרו</LastName>
            <JudicialPersonTitle>שופט</JudicialPersonTitle>
          </CaseJudicalPersonActive>
          <CaseJudicalPersonActive>
            <CaseID>80017917</CaseID>
            <JudicialPersonID>023592660@GOV.IL</JudicialPersonID>
            <JudicialPersonTypeID>1</JudicialPersonTypeID>
            <JudicialTypeID>3</JudicialTypeID>
            <IsChairman>false</IsChairman>
            <TreatmentStartDate>2023-04-24T12:09:28.053+03:00</TreatmentStartDate>
            <TreatmentFinishDate>9999-12-31T23:59:59.997+02:00</TreatmentFinishDate>
            <IdentificationCardNumber>023592660</IdentificationCardNumber>
            <DisplayName>גיל דניאל</DisplayName>
            <JudicialTypeName>הרכב שופטים</JudicialTypeName>
            <CaseJudicialGroupNumber>537109</CaseJudicialGroupNumber>
            <FirstName>גיל</FirstName>
            <LastName>דניאל</LastName>
            <JudicialPersonTitle>שופט</JudicialPersonTitle>
          </CaseJudicalPersonActive>
        </CaseJudicialPersonPresentationDS>
        <CasePartyID>252126907</CasePartyID>
        <PartyTypeID>1</PartyTypeID>
        <ActivityStatusID>1</ActivityStatusID>
        <PartyAliasID>4</PartyAliasID>
        <PartyAliasName>משיב</PartyAliasName>
        <OrdinalNumber>1</OrdinalNumber>
        <LegalEntityID>16654281</LegalEntityID>
        <CaseLegalEntityID>123252483</CaseLegalEntityID>
        <AuthenticationTypeID>1</AuthenticationTypeID>
        <AuthenticationTypeName>ת"ז</AuthenticationTypeName>
        <LegalEntityNumber>056872047</LegalEntityNumber>
        <IsMainPartyType>true</IsMainPartyType>
        <CaseDisplayIdentifier>41733-02-23</CaseDisplayIdentifier>
        <CaseTypeID>10079</CaseTypeID>
        <CaseTypeName>ערעור פלילי גזר דין (עפ"ג)</CaseTypeName>
        <CaseName>מדינת ישראל נ' אבו גאמע</CaseName>
        <FullAddress>שכ' 4 בית 22 ערערה-בנגב </FullAddress>
        <MotionID>0</MotionID>
        <CasePleaID>0</CasePleaID>
        <FatherName>עבד אל רחמאן</FatherName>
        <LinkedCaseID>0</LinkedCaseID>
        <PartyID>2</PartyID>
        <CasePartyCategoryID>2</CasePartyCategoryID>
        <LegalEntityAddressID>83803856</LegalEntityAddressID>
        <PleaTypeID>6</PleaTypeID>
        <GroupPartyAlias>משיבים</GroupPartyAlias>
        <IsConverted>false</IsConverted>
        <LegalEntityRegisteredNameID>3109997</LegalEntityRegisteredNameID>
        <LegalEntityNameID>89464447</LegalEntityNameID>
        <RepresentatedNamesOfAssistant/>
        <LegalEntityTypeID>1</LegalEntityTypeID>
        <IsVerdictExists>false</IsVerdictExists>
        <IsAsirAzir>false</IsAsirAzir>
        <IsPublicationProhibited>false</IsPublicationProhibited>
        <PublicationProhibitedFullName>עבד בן עבד אבו גאמע</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חן אביטן</FullName>
        <FirstName>חן</FirstName>
        <LastName>אביטן</LastName>
        <PartyPropertyName/>
        <AuthenticationTypeAndNumber>מ.ר. 24807</AuthenticationTypeAndNumber>
        <RepresentatedOrRepresentativesNames>עבד בן עבד אבו גאמע</RepresentatedOrRepresentativesNames>
        <RepresentatedOrRepresentativesCount>1</RepresentatedOrRepresentativesCount>
        <InvitedBy/>
        <CaseID>80017917</CaseID>
        <CaseJudicialPersonPresentationDS>
          <CaseJudicalPersonActive>
            <CaseID>80017917</CaseID>
            <JudicialPersonID>054303474@GOV.IL</JudicialPersonID>
            <JudicialPersonTypeID>1</JudicialPersonTypeID>
            <JudicialTypeID>3</JudicialTypeID>
            <IsChairman>true</IsChairman>
            <TreatmentStartDate>2023-04-24T12:09:28.053+03:00</TreatmentStartDate>
            <TreatmentFinishDate>9999-12-31T23:59:59.997+02:00</TreatmentFinishDate>
            <IdentificationCardNumber>054303474</IdentificationCardNumber>
            <DisplayName>רויטל יפה כץ</DisplayName>
            <JudicialTypeName>הרכב שופטים</JudicialTypeName>
            <CaseJudicialGroupNumber>537109</CaseJudicialGroupNumber>
            <FirstName>רויטל</FirstName>
            <LastName>יפה כץ</LastName>
            <JudicialPersonTitle>שופט</JudicialPersonTitle>
          </CaseJudicalPersonActive>
          <CaseJudicalPersonActive>
            <CaseID>80017917</CaseID>
            <JudicialPersonID>038682266@GOV.IL</JudicialPersonID>
            <JudicialPersonTypeID>1</JudicialPersonTypeID>
            <JudicialTypeID>3</JudicialTypeID>
            <IsChairman>false</IsChairman>
            <TreatmentStartDate>2023-04-24T12:09:28.053+03:00</TreatmentStartDate>
            <TreatmentFinishDate>9999-12-31T23:59:59.997+02:00</TreatmentFinishDate>
            <IdentificationCardNumber>038682266</IdentificationCardNumber>
            <DisplayName>יובל ליבדרו</DisplayName>
            <JudicialTypeName>הרכב שופטים</JudicialTypeName>
            <CaseJudicialGroupNumber>537109</CaseJudicialGroupNumber>
            <FirstName>יובל</FirstName>
            <LastName>ליבדרו</LastName>
            <JudicialPersonTitle>שופט</JudicialPersonTitle>
          </CaseJudicalPersonActive>
          <CaseJudicalPersonActive>
            <CaseID>80017917</CaseID>
            <JudicialPersonID>023592660@GOV.IL</JudicialPersonID>
            <JudicialPersonTypeID>1</JudicialPersonTypeID>
            <JudicialTypeID>3</JudicialTypeID>
            <IsChairman>false</IsChairman>
            <TreatmentStartDate>2023-04-24T12:09:28.053+03:00</TreatmentStartDate>
            <TreatmentFinishDate>9999-12-31T23:59:59.997+02:00</TreatmentFinishDate>
            <IdentificationCardNumber>023592660</IdentificationCardNumber>
            <DisplayName>גיל דניאל</DisplayName>
            <JudicialTypeName>הרכב שופטים</JudicialTypeName>
            <CaseJudicialGroupNumber>537109</CaseJudicialGroupNumber>
            <FirstName>גיל</FirstName>
            <LastName>דניאל</LastName>
            <JudicialPersonTitle>שופט</JudicialPersonTitle>
          </CaseJudicalPersonActive>
        </CaseJudicialPersonPresentationDS>
        <CasePartyID>252126909</CasePartyID>
        <PartyTypeID>2</PartyTypeID>
        <ActivityStatusID>1</ActivityStatusID>
        <PartyAliasID>23</PartyAliasID>
        <PartyAliasName>בא כוח משיבים</PartyAliasName>
        <OrdinalNumber>1</OrdinalNumber>
        <LegalEntityID>388938</LegalEntityID>
        <CaseLegalEntityID>123252485</CaseLegalEntityID>
        <AuthenticationTypeID>4</AuthenticationTypeID>
        <AuthenticationTypeName>מ.ר.</AuthenticationTypeName>
        <LegalEntityNumber>24807</LegalEntityNumber>
        <IsMainPartyType>true</IsMainPartyType>
        <CaseDisplayIdentifier>41733-02-23</CaseDisplayIdentifier>
        <CaseTypeID>10079</CaseTypeID>
        <CaseTypeName>ערעור פלילי גזר דין (עפ"ג)</CaseTypeName>
        <CaseName>מדינת ישראל נ' אבו גאמע</CaseName>
        <FullAddress>שד' דוד טוביה 125 באר שבע גראנד קניון קומה 1-</FullAddress>
        <MotionID>0</MotionID>
        <CasePleaID>0</CasePleaID>
        <LinkedCaseID>0</LinkedCaseID>
        <PartyID>2</PartyID>
        <CasePartyCategoryID>2</CasePartyCategoryID>
        <LegalEntityAddressID>79095584</LegalEntityAddressID>
        <PleaTypeID>6</PleaTypeID>
        <LawyerOfficeName>משרד עו"ד: חן אביטן</LawyerOfficeName>
        <LawyerOfficeID>429582</LawyerOfficeID>
        <GroupPartyAlias/>
        <IsConverted>false</IsConverted>
        <LegalEntityNameID>9922</LegalEntityNameID>
        <RepresentatedNamesOfAssistant/>
        <LegalEntityTypeID>4</LegalEntityTypeID>
        <IsVerdictExists>false</IsVerdictExists>
        <IsAsirAzir>false</IsAsirAzir>
        <IsPublicationProhibited>false</IsPublicationProhibited>
        <PublicationProhibitedFullName>חן אביטן</PublicationProhibitedFullName>
      </CaseParties>
    </CasePartiesSelectionDS>
    <CaseName>מדינת ישראל נ' אבו גאמע</CaseName>
    <CaseDisplayIdentifier>41733-02-23</CaseDisplayIdentifier>
    <CaseTypeShortName>עפ"ג</CaseTypeShortName>
  </dt_DecisionCase>
  <dt_DecisionJudgePanel>
    <JudgeID>054303474@GOV.IL</JudgeID>
    <DisplayName>יפה כץ</DisplayName>
    <RoleName>שופט</RoleName>
    <UserTitleName>נשיאה</UserTitleName>
  </dt_DecisionJudgePanel>
  <dt_DecisionJudgePanel>
    <JudgeID>038682266@GOV.IL</JudgeID>
    <DisplayName>ליבדרו</DisplayName>
    <RoleName>שופט</RoleName>
    <UserTitleName>שופט</UserTitleName>
  </dt_DecisionJudgePanel>
  <dt_DecisionJudgePanel>
    <JudgeID>023592660@GOV.IL</JudgeID>
    <DisplayName>דניאל</DisplayName>
    <RoleName>שופט</RoleName>
    <UserTitleName>שופט</UserTitleName>
  </dt_DecisionJudgePanel>
  <dt_LegalEntityDetails>
    <Fax>02-5085092</Fax>
    <Phone>072-3745001</Phone>
    <AddressDesc>בית נועם</AddressDesc>
    <PartyID>1</PartyID>
    <PartyTypeID>3</PartyTypeID>
    <DecisionID>0</DecisionID>
    <AssistantRoleID>14</AssistantRoleID>
    <StreetName>שד' שזר 21</StreetName>
    <CityName>באר שבע</CityName>
    <FullName> שרות מבחן למבוגרים - מחוז הדרום(באר שבע)</FullName>
    <Email>f2m_025085092@molsa.gov.il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שכ' 4 בית 22</StreetName>
    <CityName>ערערה-בנגב</CityName>
    <FullName>עבד בן עבד אבו גאמע</FullName>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Fax>08-6655677</Fax>
    <Phone>08-6655655</Phone>
    <AddressDesc>גראנד קניון קומה 1-</AddressDesc>
    <PartyID>2</PartyID>
    <PartyTypeID>2</PartyTypeID>
    <DecisionID>0</DecisionID>
    <StreetName>שד' דוד טוביה 125</StreetName>
    <CityName>באר שבע</CityName>
    <FullName>חן אביטן</FullName>
    <Email>mail2@ca-adv.co.il</Email>
    <IsPublicationProhibited>false</IsPublicationProhibited>
  </dt_LegalEntityDetails>
  <dt_CaseJudicalPersonActive>
    <CaseJudicalPerson>נשיאה רויטל יפה כץ, שופט יובל ליבדרו, שופט גיל דניאל</CaseJudicalPerson>
  </dt_CaseJudicalPersonActive>
  <dt_Sitting>
    <PreviousMeetingDate>2023-07-04T09:00:00+03:00</PreviousMeetingDate>
    <PreviousSittingTypeID>5</PreviousSittingTypeID>
    <PreviousMeetingDisplayName>רויטל יפה כץ, יואל עדן, יעל ייטב</PreviousMeetingDisplayName>
    <PreviousMeetingUserUPN>054303474@GOV.IL, 056827116@GOV.IL, 058402603@GOV.IL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33F4B-5D18-4250-99DA-31008B7FAAD5}">
  <ds:schemaRefs/>
</ds:datastoreItem>
</file>

<file path=customXml/itemProps2.xml><?xml version="1.0" encoding="utf-8"?>
<ds:datastoreItem xmlns:ds="http://schemas.openxmlformats.org/officeDocument/2006/customXml" ds:itemID="{0E2CC426-9D34-4554-89DC-20FCCC9CF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6291</Words>
  <Characters>31460</Characters>
  <Application>Microsoft Office Word</Application>
  <DocSecurity>4</DocSecurity>
  <Lines>262</Lines>
  <Paragraphs>75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cp:lastPrinted>2023-08-01T10:03:00Z</cp:lastPrinted>
  <dcterms:created xsi:type="dcterms:W3CDTF">2023-08-22T14:12:00Z</dcterms:created>
  <dcterms:modified xsi:type="dcterms:W3CDTF">2023-08-22T14:12:00Z</dcterms:modified>
</cp:coreProperties>
</file>